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firstLineChars="200"/>
        <w:rPr>
          <w:rFonts w:cs="Times New Roman"/>
          <w:color w:val="000000" w:themeColor="text1"/>
          <w:szCs w:val="24"/>
        </w:rPr>
      </w:pPr>
    </w:p>
    <w:p>
      <w:pPr>
        <w:pStyle w:val="9"/>
        <w:adjustRightInd w:val="0"/>
        <w:snapToGrid w:val="0"/>
        <w:spacing w:after="0" w:line="360" w:lineRule="auto"/>
        <w:ind w:left="0" w:leftChars="0"/>
        <w:rPr>
          <w:rFonts w:ascii="宋体" w:hAnsi="宋体" w:cs="宋体"/>
          <w:sz w:val="24"/>
        </w:rPr>
      </w:pPr>
    </w:p>
    <w:p>
      <w:pPr>
        <w:pStyle w:val="9"/>
        <w:adjustRightInd w:val="0"/>
        <w:snapToGrid w:val="0"/>
        <w:spacing w:after="0" w:line="360" w:lineRule="auto"/>
        <w:ind w:left="0" w:leftChars="0"/>
        <w:jc w:val="center"/>
        <w:rPr>
          <w:rFonts w:hint="eastAsia" w:ascii="宋体" w:hAnsi="宋体" w:cs="宋体"/>
          <w:b/>
          <w:bCs/>
          <w:sz w:val="84"/>
          <w:szCs w:val="84"/>
        </w:rPr>
      </w:pPr>
    </w:p>
    <w:p>
      <w:pPr>
        <w:pStyle w:val="9"/>
        <w:adjustRightInd w:val="0"/>
        <w:snapToGrid w:val="0"/>
        <w:spacing w:after="0" w:line="360" w:lineRule="auto"/>
        <w:ind w:left="0" w:leftChars="0"/>
        <w:jc w:val="center"/>
        <w:rPr>
          <w:rFonts w:hint="eastAsia" w:ascii="宋体" w:hAnsi="宋体" w:cs="宋体"/>
          <w:b/>
          <w:bCs/>
          <w:sz w:val="84"/>
          <w:szCs w:val="84"/>
        </w:rPr>
      </w:pPr>
    </w:p>
    <w:p>
      <w:pPr>
        <w:pStyle w:val="9"/>
        <w:adjustRightInd w:val="0"/>
        <w:snapToGrid w:val="0"/>
        <w:spacing w:after="0" w:line="360" w:lineRule="auto"/>
        <w:ind w:left="0" w:leftChars="0"/>
        <w:jc w:val="center"/>
        <w:rPr>
          <w:rFonts w:ascii="宋体" w:hAnsi="宋体" w:cs="宋体"/>
          <w:b/>
          <w:bCs/>
          <w:sz w:val="96"/>
          <w:szCs w:val="96"/>
        </w:rPr>
      </w:pPr>
      <w:r>
        <w:rPr>
          <w:sz w:val="84"/>
        </w:rPr>
        <w:pict>
          <v:line id="直接连接符 34" o:spid="_x0000_s1350" o:spt="20" style="position:absolute;left:0pt;margin-left:-144.85pt;margin-top:76.45pt;height:0pt;width:720pt;z-index:251662336;mso-width-relative:page;mso-height-relative:page;" filled="f" stroked="t" coordsize="21600,21600" o:gfxdata="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r06CbbAAAADQEAAA8AAAAAAAAAAQAgAAAAIgAA&#10;AGRycy9kb3ducmV2LnhtbFBLAQIUABQAAAAIAIdO4kBGP/o5BQIAAOIDAAAOAAAAAAAAAAEAIAAA&#10;ACoBAABkcnMvZTJvRG9jLnhtbFBLBQYAAAAABgAGAFkBAAChBQAAAAA=&#10;">
            <v:path arrowok="t"/>
            <v:fill on="f" focussize="0,0"/>
            <v:stroke weight="3pt" color="#4A7EBB" joinstyle="round"/>
            <v:imagedata o:title=""/>
            <o:lock v:ext="edit" aspectratio="f"/>
          </v:line>
        </w:pict>
      </w:r>
      <w:r>
        <w:rPr>
          <w:rFonts w:hint="eastAsia" w:ascii="宋体" w:hAnsi="宋体" w:cs="宋体"/>
          <w:b/>
          <w:bCs/>
          <w:sz w:val="96"/>
          <w:szCs w:val="96"/>
        </w:rPr>
        <w:t>专业人才培养方案</w:t>
      </w:r>
    </w:p>
    <w:p>
      <w:pPr>
        <w:pStyle w:val="9"/>
        <w:adjustRightInd w:val="0"/>
        <w:snapToGrid w:val="0"/>
        <w:spacing w:after="0" w:line="360" w:lineRule="auto"/>
        <w:ind w:left="0" w:leftChars="0"/>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2022级</w:t>
      </w:r>
      <w:r>
        <w:rPr>
          <w:rFonts w:hint="eastAsia" w:ascii="宋体" w:hAnsi="宋体" w:eastAsia="宋体" w:cs="宋体"/>
          <w:b/>
          <w:bCs/>
          <w:sz w:val="56"/>
          <w:szCs w:val="56"/>
        </w:rPr>
        <w:t>旅游服务与管理专业</w:t>
      </w:r>
    </w:p>
    <w:p>
      <w:pPr>
        <w:pStyle w:val="9"/>
        <w:adjustRightInd w:val="0"/>
        <w:snapToGrid w:val="0"/>
        <w:spacing w:line="400" w:lineRule="exact"/>
        <w:ind w:left="0" w:leftChars="0" w:firstLine="480" w:firstLineChars="200"/>
        <w:rPr>
          <w:rFonts w:ascii="宋体" w:hAnsi="宋体" w:cs="宋体"/>
          <w:sz w:val="24"/>
        </w:rPr>
      </w:pPr>
    </w:p>
    <w:p>
      <w:pPr>
        <w:pStyle w:val="9"/>
        <w:adjustRightInd w:val="0"/>
        <w:snapToGrid w:val="0"/>
        <w:spacing w:line="400" w:lineRule="exact"/>
        <w:ind w:left="0" w:leftChars="0" w:firstLine="480" w:firstLineChars="200"/>
        <w:rPr>
          <w:rFonts w:ascii="宋体" w:hAnsi="宋体" w:cs="宋体"/>
          <w:sz w:val="24"/>
        </w:rPr>
      </w:pPr>
    </w:p>
    <w:p>
      <w:pPr>
        <w:pStyle w:val="9"/>
        <w:adjustRightInd w:val="0"/>
        <w:snapToGrid w:val="0"/>
        <w:spacing w:line="400" w:lineRule="exact"/>
        <w:ind w:left="0" w:leftChars="0" w:firstLine="480" w:firstLineChars="200"/>
        <w:rPr>
          <w:rFonts w:ascii="宋体" w:hAnsi="宋体" w:cs="宋体"/>
          <w:sz w:val="24"/>
        </w:rPr>
      </w:pPr>
    </w:p>
    <w:p>
      <w:pPr>
        <w:pStyle w:val="9"/>
        <w:adjustRightInd w:val="0"/>
        <w:snapToGrid w:val="0"/>
        <w:spacing w:line="400" w:lineRule="exact"/>
        <w:ind w:left="0" w:leftChars="0" w:firstLine="480" w:firstLineChars="200"/>
        <w:rPr>
          <w:rFonts w:ascii="宋体" w:hAnsi="宋体" w:cs="宋体"/>
          <w:sz w:val="24"/>
        </w:rPr>
      </w:pPr>
    </w:p>
    <w:p>
      <w:pPr>
        <w:pStyle w:val="9"/>
        <w:adjustRightInd w:val="0"/>
        <w:snapToGrid w:val="0"/>
        <w:spacing w:line="400" w:lineRule="exact"/>
        <w:ind w:left="0" w:leftChars="0"/>
        <w:jc w:val="center"/>
        <w:rPr>
          <w:rFonts w:ascii="宋体" w:hAnsi="宋体" w:cs="宋体"/>
          <w:sz w:val="32"/>
          <w:szCs w:val="32"/>
        </w:rPr>
      </w:pPr>
      <w:r>
        <w:rPr>
          <w:rFonts w:hint="eastAsia" w:ascii="宋体" w:hAnsi="宋体" w:cs="宋体"/>
          <w:sz w:val="24"/>
        </w:rPr>
        <w:t xml:space="preserve">   </w:t>
      </w:r>
    </w:p>
    <w:p>
      <w:pPr>
        <w:pStyle w:val="9"/>
        <w:adjustRightInd w:val="0"/>
        <w:snapToGrid w:val="0"/>
        <w:spacing w:line="400" w:lineRule="exact"/>
        <w:ind w:left="0" w:leftChars="0" w:firstLine="480" w:firstLineChars="200"/>
        <w:rPr>
          <w:rFonts w:ascii="宋体" w:hAnsi="宋体" w:cs="宋体"/>
          <w:sz w:val="24"/>
        </w:rPr>
      </w:pPr>
    </w:p>
    <w:p>
      <w:pPr>
        <w:adjustRightInd w:val="0"/>
        <w:snapToGrid w:val="0"/>
        <w:spacing w:line="400" w:lineRule="exact"/>
        <w:ind w:firstLine="482" w:firstLineChars="200"/>
        <w:jc w:val="center"/>
        <w:rPr>
          <w:rFonts w:ascii="宋体" w:hAnsi="宋体" w:cs="宋体"/>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titlePg/>
          <w:docGrid w:type="lines" w:linePitch="312" w:charSpace="0"/>
        </w:sectPr>
      </w:pPr>
      <w:bookmarkStart w:id="26" w:name="_GoBack"/>
      <w:bookmarkEnd w:id="26"/>
    </w:p>
    <w:p>
      <w:pPr>
        <w:pStyle w:val="2"/>
        <w:spacing w:before="0" w:after="0" w:line="240" w:lineRule="auto"/>
        <w:jc w:val="center"/>
        <w:rPr>
          <w:rFonts w:ascii="宋体" w:hAnsi="宋体"/>
          <w:color w:val="000000" w:themeColor="text1"/>
          <w:sz w:val="32"/>
          <w:szCs w:val="32"/>
        </w:rPr>
      </w:pPr>
      <w:bookmarkStart w:id="0" w:name="_Toc492536347"/>
      <w:bookmarkStart w:id="1" w:name="_Toc22306539"/>
      <w:bookmarkStart w:id="2" w:name="_Toc22306792"/>
      <w:bookmarkStart w:id="3" w:name="_Toc492535624"/>
      <w:r>
        <w:rPr>
          <w:rFonts w:hint="eastAsia" w:ascii="宋体" w:hAnsi="宋体"/>
          <w:color w:val="000000" w:themeColor="text1"/>
          <w:sz w:val="32"/>
          <w:szCs w:val="32"/>
          <w:lang w:val="en-US" w:eastAsia="zh-CN"/>
        </w:rPr>
        <w:t>2022级</w:t>
      </w:r>
      <w:r>
        <w:rPr>
          <w:rFonts w:hint="eastAsia" w:ascii="宋体" w:hAnsi="宋体"/>
          <w:color w:val="000000" w:themeColor="text1"/>
          <w:sz w:val="32"/>
          <w:szCs w:val="32"/>
        </w:rPr>
        <w:t>旅游服务与管理专业人才培养方案</w:t>
      </w:r>
      <w:bookmarkEnd w:id="0"/>
      <w:bookmarkEnd w:id="1"/>
      <w:bookmarkEnd w:id="2"/>
      <w:bookmarkEnd w:id="3"/>
    </w:p>
    <w:p>
      <w:pPr>
        <w:pStyle w:val="4"/>
        <w:adjustRightInd w:val="0"/>
        <w:snapToGrid w:val="0"/>
        <w:spacing w:before="0" w:after="0" w:line="400" w:lineRule="exact"/>
        <w:ind w:firstLine="482" w:firstLineChars="200"/>
        <w:jc w:val="left"/>
        <w:rPr>
          <w:rFonts w:ascii="宋体" w:hAnsi="宋体" w:cs="宋体"/>
          <w:color w:val="000000" w:themeColor="text1"/>
          <w:sz w:val="24"/>
          <w:szCs w:val="24"/>
        </w:rPr>
      </w:pPr>
      <w:bookmarkStart w:id="4" w:name="_Toc492371610"/>
      <w:r>
        <w:rPr>
          <w:rFonts w:hint="eastAsia" w:ascii="宋体" w:hAnsi="宋体" w:cs="宋体"/>
          <w:color w:val="000000" w:themeColor="text1"/>
          <w:sz w:val="24"/>
          <w:szCs w:val="24"/>
        </w:rPr>
        <w:t>一、专业名称（专业代码）</w:t>
      </w:r>
      <w:bookmarkEnd w:id="4"/>
    </w:p>
    <w:p>
      <w:pPr>
        <w:spacing w:line="400" w:lineRule="exact"/>
        <w:jc w:val="left"/>
        <w:rPr>
          <w:rFonts w:ascii="宋体" w:hAnsi="宋体"/>
          <w:color w:val="000000" w:themeColor="text1"/>
          <w:sz w:val="24"/>
        </w:rPr>
      </w:pPr>
      <w:r>
        <w:rPr>
          <w:rFonts w:hint="eastAsia" w:ascii="宋体" w:hAnsi="宋体"/>
          <w:color w:val="000000" w:themeColor="text1"/>
          <w:sz w:val="24"/>
        </w:rPr>
        <w:t xml:space="preserve">    旅游服务与管理(</w:t>
      </w:r>
      <w:r>
        <w:rPr>
          <w:rFonts w:hint="eastAsia" w:ascii="宋体" w:hAnsi="宋体"/>
          <w:color w:val="000000" w:themeColor="text1"/>
          <w:sz w:val="24"/>
          <w:lang w:val="en-US" w:eastAsia="zh-CN"/>
        </w:rPr>
        <w:t>740101</w:t>
      </w:r>
      <w:r>
        <w:rPr>
          <w:rFonts w:hint="eastAsia" w:ascii="宋体" w:hAnsi="宋体"/>
          <w:color w:val="000000" w:themeColor="text1"/>
          <w:sz w:val="24"/>
        </w:rPr>
        <w:t>)</w:t>
      </w:r>
    </w:p>
    <w:p>
      <w:pPr>
        <w:pStyle w:val="4"/>
        <w:adjustRightInd w:val="0"/>
        <w:snapToGrid w:val="0"/>
        <w:spacing w:before="0" w:after="0" w:line="400" w:lineRule="exact"/>
        <w:ind w:firstLine="482" w:firstLineChars="200"/>
        <w:jc w:val="left"/>
        <w:rPr>
          <w:rFonts w:ascii="宋体" w:hAnsi="宋体" w:cs="宋体"/>
          <w:color w:val="000000" w:themeColor="text1"/>
          <w:sz w:val="24"/>
          <w:szCs w:val="24"/>
        </w:rPr>
      </w:pPr>
      <w:bookmarkStart w:id="5" w:name="_Toc492371611"/>
      <w:r>
        <w:rPr>
          <w:rFonts w:hint="eastAsia" w:ascii="宋体" w:hAnsi="宋体" w:cs="宋体"/>
          <w:color w:val="000000" w:themeColor="text1"/>
          <w:sz w:val="24"/>
          <w:szCs w:val="24"/>
        </w:rPr>
        <w:t>二、</w:t>
      </w:r>
      <w:bookmarkEnd w:id="5"/>
      <w:r>
        <w:rPr>
          <w:rFonts w:hint="eastAsia" w:ascii="宋体" w:hAnsi="宋体" w:cs="宋体"/>
          <w:color w:val="000000" w:themeColor="text1"/>
          <w:sz w:val="24"/>
          <w:szCs w:val="24"/>
        </w:rPr>
        <w:t>入学要求</w:t>
      </w:r>
    </w:p>
    <w:p>
      <w:pPr>
        <w:adjustRightInd w:val="0"/>
        <w:snapToGrid w:val="0"/>
        <w:spacing w:line="400" w:lineRule="exact"/>
        <w:jc w:val="left"/>
        <w:rPr>
          <w:rFonts w:ascii="宋体" w:hAnsi="宋体" w:cs="宋体"/>
          <w:color w:val="000000" w:themeColor="text1"/>
          <w:sz w:val="24"/>
        </w:rPr>
      </w:pPr>
      <w:r>
        <w:rPr>
          <w:rFonts w:hint="eastAsia" w:ascii="宋体" w:hAnsi="宋体" w:cs="宋体"/>
          <w:color w:val="000000" w:themeColor="text1"/>
          <w:sz w:val="24"/>
        </w:rPr>
        <w:t xml:space="preserve">    初中毕业或具有同等学力</w:t>
      </w:r>
    </w:p>
    <w:p>
      <w:pPr>
        <w:pStyle w:val="4"/>
        <w:adjustRightInd w:val="0"/>
        <w:snapToGrid w:val="0"/>
        <w:spacing w:before="0" w:after="0" w:line="400" w:lineRule="exact"/>
        <w:ind w:firstLine="482" w:firstLineChars="200"/>
        <w:jc w:val="left"/>
        <w:rPr>
          <w:rFonts w:ascii="宋体" w:hAnsi="宋体" w:cs="宋体"/>
          <w:color w:val="000000" w:themeColor="text1"/>
          <w:sz w:val="24"/>
          <w:szCs w:val="24"/>
        </w:rPr>
      </w:pPr>
      <w:bookmarkStart w:id="6" w:name="_Toc492371612"/>
      <w:r>
        <w:rPr>
          <w:rFonts w:hint="eastAsia" w:ascii="宋体" w:hAnsi="宋体" w:cs="宋体"/>
          <w:color w:val="000000" w:themeColor="text1"/>
          <w:sz w:val="24"/>
          <w:szCs w:val="24"/>
        </w:rPr>
        <w:t>三、基本学制</w:t>
      </w:r>
      <w:bookmarkEnd w:id="6"/>
    </w:p>
    <w:p>
      <w:pPr>
        <w:pStyle w:val="4"/>
        <w:adjustRightInd w:val="0"/>
        <w:snapToGrid w:val="0"/>
        <w:spacing w:before="0" w:after="0" w:line="400" w:lineRule="exact"/>
        <w:ind w:firstLine="480" w:firstLineChars="200"/>
        <w:jc w:val="left"/>
        <w:rPr>
          <w:rFonts w:ascii="宋体" w:hAnsi="宋体" w:cs="宋体"/>
          <w:b w:val="0"/>
          <w:color w:val="000000" w:themeColor="text1"/>
          <w:sz w:val="24"/>
          <w:szCs w:val="24"/>
        </w:rPr>
      </w:pPr>
      <w:bookmarkStart w:id="7" w:name="_Toc492371613"/>
      <w:r>
        <w:rPr>
          <w:rFonts w:hint="eastAsia" w:ascii="宋体" w:hAnsi="宋体" w:cs="宋体"/>
          <w:b w:val="0"/>
          <w:color w:val="000000" w:themeColor="text1"/>
          <w:sz w:val="24"/>
          <w:szCs w:val="24"/>
        </w:rPr>
        <w:t>3年</w:t>
      </w:r>
      <w:bookmarkEnd w:id="7"/>
    </w:p>
    <w:p>
      <w:pPr>
        <w:adjustRightInd w:val="0"/>
        <w:snapToGrid w:val="0"/>
        <w:spacing w:line="400" w:lineRule="exact"/>
        <w:ind w:firstLine="482" w:firstLineChars="200"/>
        <w:jc w:val="left"/>
        <w:rPr>
          <w:rFonts w:ascii="宋体" w:hAnsi="宋体" w:cs="宋体"/>
          <w:color w:val="000000" w:themeColor="text1"/>
          <w:sz w:val="24"/>
        </w:rPr>
      </w:pPr>
      <w:bookmarkStart w:id="8" w:name="_Toc492371614"/>
      <w:r>
        <w:rPr>
          <w:rStyle w:val="34"/>
          <w:rFonts w:hint="eastAsia" w:ascii="宋体" w:hAnsi="宋体"/>
          <w:color w:val="000000" w:themeColor="text1"/>
          <w:sz w:val="24"/>
        </w:rPr>
        <w:t>四、</w:t>
      </w:r>
      <w:r>
        <w:fldChar w:fldCharType="begin"/>
      </w:r>
      <w:r>
        <w:instrText xml:space="preserve"> HYPERLINK "file:///C:\\Users\\Administrator\\Desktop\\2020.6.22人才培养方案%20%20新改(1)\\AppData\\Documents%20and%20Settings\\Administrator\\桌面\\天津职大成果\\doc\\bz\\fa.doc" \l "_Toc242351836#_Toc242351836" </w:instrText>
      </w:r>
      <w:r>
        <w:fldChar w:fldCharType="separate"/>
      </w:r>
      <w:r>
        <w:rPr>
          <w:rStyle w:val="34"/>
          <w:rFonts w:hint="eastAsia" w:ascii="宋体" w:hAnsi="宋体"/>
          <w:color w:val="000000" w:themeColor="text1"/>
          <w:sz w:val="24"/>
        </w:rPr>
        <w:t>培养目标</w:t>
      </w:r>
      <w:bookmarkEnd w:id="8"/>
      <w:r>
        <w:rPr>
          <w:rStyle w:val="34"/>
          <w:rFonts w:hint="eastAsia" w:ascii="宋体" w:hAnsi="宋体"/>
          <w:color w:val="000000" w:themeColor="text1"/>
          <w:sz w:val="24"/>
        </w:rPr>
        <w:fldChar w:fldCharType="end"/>
      </w:r>
      <w:r>
        <w:rPr>
          <w:rFonts w:hint="eastAsia" w:ascii="宋体" w:hAnsi="宋体"/>
          <w:b/>
          <w:color w:val="000000" w:themeColor="text1"/>
          <w:sz w:val="24"/>
        </w:rPr>
        <w:t>与规格</w:t>
      </w:r>
    </w:p>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w:t>
      </w:r>
      <w:r>
        <w:fldChar w:fldCharType="begin"/>
      </w:r>
      <w:r>
        <w:instrText xml:space="preserve"> HYPERLINK "file:///C:\\Users\\Documents%20and%20Settings\\Administrator\\桌面\\天津职大成果\\doc\\bz\\fa.doc" \l "_Toc242351836#_Toc242351836" </w:instrText>
      </w:r>
      <w:r>
        <w:fldChar w:fldCharType="separate"/>
      </w:r>
      <w:r>
        <w:rPr>
          <w:rStyle w:val="34"/>
          <w:rFonts w:hint="eastAsia" w:ascii="宋体" w:hAnsi="宋体"/>
          <w:color w:val="000000" w:themeColor="text1"/>
          <w:sz w:val="24"/>
        </w:rPr>
        <w:t>培养目标</w:t>
      </w:r>
      <w:r>
        <w:rPr>
          <w:rStyle w:val="34"/>
          <w:rFonts w:hint="eastAsia" w:ascii="宋体" w:hAnsi="宋体"/>
          <w:color w:val="000000" w:themeColor="text1"/>
          <w:sz w:val="24"/>
        </w:rPr>
        <w:fldChar w:fldCharType="end"/>
      </w:r>
    </w:p>
    <w:p>
      <w:pPr>
        <w:adjustRightInd w:val="0"/>
        <w:snapToGrid w:val="0"/>
        <w:spacing w:line="400" w:lineRule="exact"/>
        <w:ind w:firstLine="480" w:firstLineChars="200"/>
        <w:rPr>
          <w:rFonts w:ascii="宋体" w:hAnsi="宋体" w:cs="宋体"/>
          <w:color w:val="000000" w:themeColor="text1"/>
          <w:kern w:val="0"/>
          <w:sz w:val="24"/>
        </w:rPr>
      </w:pPr>
      <w:bookmarkStart w:id="9" w:name="_Toc256146387"/>
      <w:bookmarkStart w:id="10" w:name="_Toc266488422"/>
      <w:r>
        <w:rPr>
          <w:rFonts w:hint="eastAsia" w:ascii="宋体" w:hAnsi="宋体" w:cs="宋体"/>
          <w:color w:val="000000" w:themeColor="text1"/>
          <w:kern w:val="0"/>
          <w:sz w:val="24"/>
        </w:rPr>
        <w:t>本专业培养与我国社会主义现代化建设要求相适应，德、智、体、美、劳全面发展，具有良好的职业道德和职业素养，有一定的组织、协调、应变能力，掌握旅游服务与管理专业对应职业岗位必备的知识与技能，能从事客房、餐饮、等一线接待服务工作，以及从事景点讲解员、导游员、计调员的基层服务工作，具备职业生涯发展基础和终身学习能力，能胜任生产、服务、管理一线工作的高素质劳动者和技术技能人才。</w:t>
      </w:r>
      <w:bookmarkEnd w:id="9"/>
      <w:bookmarkEnd w:id="10"/>
    </w:p>
    <w:p>
      <w:pPr>
        <w:adjustRightInd w:val="0"/>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（二）培养规格</w:t>
      </w:r>
    </w:p>
    <w:p>
      <w:pPr>
        <w:widowControl/>
        <w:spacing w:line="400" w:lineRule="exact"/>
        <w:ind w:firstLine="459"/>
        <w:jc w:val="left"/>
        <w:rPr>
          <w:rFonts w:ascii="宋体" w:hAnsi="宋体" w:cs="宋体"/>
          <w:color w:val="000000" w:themeColor="text1"/>
          <w:kern w:val="0"/>
          <w:sz w:val="24"/>
        </w:rPr>
      </w:pPr>
      <w:r>
        <w:rPr>
          <w:rFonts w:hint="eastAsia" w:ascii="宋体" w:hAnsi="宋体" w:cs="宋体"/>
          <w:color w:val="000000" w:themeColor="text1"/>
          <w:kern w:val="0"/>
          <w:sz w:val="24"/>
        </w:rPr>
        <w:t>本专业毕业生要热爱社会主义祖国，拥护党的基本路线，懂得马克思列宁主义、毛泽东思想和邓小平理论的基本原理，具有爱国主义、集体主义、社会主义思想和良好的思想品德；在具有必备的基础理论知识和专门知识的基础上，重点掌握从事本专业领域实际工作的基本能力和基本技能；具备较快适应生产、建设、管理、服务第一线岗位需要的实际工作能力；具有创业精神、良好的职业道德和健全的体魄。</w:t>
      </w:r>
    </w:p>
    <w:p>
      <w:pPr>
        <w:adjustRightInd w:val="0"/>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1.职业素养</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sz w:val="24"/>
        </w:rPr>
        <w:t>（1）</w:t>
      </w:r>
      <w:r>
        <w:rPr>
          <w:rFonts w:hint="eastAsia" w:ascii="宋体" w:hAnsi="宋体" w:cs="宋体"/>
          <w:color w:val="000000" w:themeColor="text1"/>
          <w:kern w:val="0"/>
          <w:sz w:val="24"/>
        </w:rPr>
        <w:t>热爱社会主义祖国，拥护共产党的领导，有正确的世界观、人生观、价值观，遵纪守法，为人正直诚实，具有良好的职业道德和公共道德。</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sz w:val="24"/>
        </w:rPr>
        <w:t>（2）</w:t>
      </w:r>
      <w:r>
        <w:rPr>
          <w:rFonts w:hint="eastAsia" w:ascii="宋体" w:hAnsi="宋体" w:cs="宋体"/>
          <w:color w:val="000000" w:themeColor="text1"/>
          <w:kern w:val="0"/>
          <w:sz w:val="24"/>
        </w:rPr>
        <w:t>具有良好的文化基础和修养；善于自学，同时关注本行业科学技术的新发展，不断更新知识；具有社会交往、处理公共关系的基本能力。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sz w:val="24"/>
        </w:rPr>
        <w:t>（3）</w:t>
      </w:r>
      <w:r>
        <w:rPr>
          <w:rFonts w:hint="eastAsia" w:ascii="宋体" w:hAnsi="宋体" w:cs="宋体"/>
          <w:color w:val="000000" w:themeColor="text1"/>
          <w:kern w:val="0"/>
          <w:sz w:val="24"/>
        </w:rPr>
        <w:t>具有爱岗敬业、遵纪守法、团结协作的品质，有立业创业的意识，有严谨务实的工作作风。</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sz w:val="24"/>
        </w:rPr>
        <w:t>（4）</w:t>
      </w:r>
      <w:r>
        <w:rPr>
          <w:rFonts w:hint="eastAsia" w:ascii="宋体" w:hAnsi="宋体" w:cs="宋体"/>
          <w:color w:val="000000" w:themeColor="text1"/>
          <w:kern w:val="0"/>
          <w:sz w:val="24"/>
        </w:rPr>
        <w:t>拥有健康的体魄，养成良好的体育锻炼和卫生习惯，具备健全的心理和乐观的人生态度。</w:t>
      </w:r>
    </w:p>
    <w:p>
      <w:pPr>
        <w:adjustRightInd w:val="0"/>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2.专业知识和技能</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（1）掌握必需的人文科学知识、出入境知识、国防知识、法律知识。</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（2）掌握现代旅游企业经营管理的理论、方法和手段，了解相关的专业发展动向。</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（3）掌握旅行社经营管理、旅游规划与开发、景区景点管理的基础理论及导游基础知识。</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（4）熟悉我国旅游业发展的方针、政策和法规。</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（5）掌握旅游职业道德的基础知识和礼仪常识。</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（6）熟练掌握导游服务规范及基本技能。</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（7）掌握饭店管理的理论知识。</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（8）</w:t>
      </w:r>
      <w:r>
        <w:rPr>
          <w:rFonts w:hint="eastAsia" w:ascii="宋体" w:hAnsi="宋体" w:cs="宋体"/>
          <w:color w:val="000000" w:themeColor="text1"/>
          <w:kern w:val="0"/>
          <w:sz w:val="24"/>
        </w:rPr>
        <w:t>具有较强的文字和口头表达能力。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（9</w:t>
      </w:r>
      <w:r>
        <w:rPr>
          <w:rFonts w:hint="eastAsia" w:ascii="宋体" w:hAnsi="宋体" w:cs="宋体"/>
          <w:color w:val="000000" w:themeColor="text1"/>
          <w:kern w:val="0"/>
          <w:sz w:val="24"/>
        </w:rPr>
        <w:t>）具有外语阅读翻译及一定的外语交流能力，具有较强的计算机应用能力。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（10</w:t>
      </w:r>
      <w:r>
        <w:rPr>
          <w:rFonts w:hint="eastAsia" w:ascii="宋体" w:hAnsi="宋体" w:cs="宋体"/>
          <w:color w:val="000000" w:themeColor="text1"/>
          <w:kern w:val="0"/>
          <w:sz w:val="24"/>
        </w:rPr>
        <w:t>）具有较强的社会适应能力和社交能力。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（11</w:t>
      </w:r>
      <w:r>
        <w:rPr>
          <w:rFonts w:hint="eastAsia" w:ascii="宋体" w:hAnsi="宋体" w:cs="宋体"/>
          <w:color w:val="000000" w:themeColor="text1"/>
          <w:kern w:val="0"/>
          <w:sz w:val="24"/>
        </w:rPr>
        <w:t>）具有较强的组织协调能力和团结协作能力。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（12</w:t>
      </w:r>
      <w:r>
        <w:rPr>
          <w:rFonts w:hint="eastAsia" w:ascii="宋体" w:hAnsi="宋体" w:cs="宋体"/>
          <w:color w:val="000000" w:themeColor="text1"/>
          <w:kern w:val="0"/>
          <w:sz w:val="24"/>
        </w:rPr>
        <w:t>）具有较强的自学能力、独立工作能力和创新能力</w:t>
      </w:r>
    </w:p>
    <w:p>
      <w:pPr>
        <w:widowControl/>
        <w:spacing w:line="400" w:lineRule="exact"/>
        <w:ind w:firstLine="480" w:firstLineChars="200"/>
        <w:jc w:val="left"/>
        <w:rPr>
          <w:rFonts w:ascii="宋体" w:hAnsi="宋体" w:cs="宋体"/>
          <w:color w:val="000000" w:themeColor="text1"/>
          <w:kern w:val="0"/>
          <w:sz w:val="24"/>
        </w:rPr>
      </w:pPr>
      <w:r>
        <w:rPr>
          <w:rFonts w:hint="eastAsia" w:ascii="宋体" w:hAnsi="宋体"/>
          <w:color w:val="000000" w:themeColor="text1"/>
          <w:kern w:val="0"/>
          <w:sz w:val="24"/>
        </w:rPr>
        <w:t>（13</w:t>
      </w:r>
      <w:r>
        <w:rPr>
          <w:rFonts w:hint="eastAsia" w:ascii="宋体" w:hAnsi="宋体" w:cs="宋体"/>
          <w:color w:val="000000" w:themeColor="text1"/>
          <w:kern w:val="0"/>
          <w:sz w:val="24"/>
        </w:rPr>
        <w:t>）具有较强的分析解决实际问题的能力和较强的实践动手能力。</w:t>
      </w:r>
    </w:p>
    <w:p>
      <w:pPr>
        <w:widowControl/>
        <w:spacing w:line="400" w:lineRule="exact"/>
        <w:ind w:firstLine="600" w:firstLineChars="250"/>
        <w:jc w:val="left"/>
        <w:rPr>
          <w:rFonts w:ascii="宋体" w:hAnsi="宋体" w:cs="宋体"/>
          <w:color w:val="000000" w:themeColor="text1"/>
          <w:kern w:val="0"/>
          <w:sz w:val="24"/>
        </w:rPr>
      </w:pPr>
      <w:r>
        <w:rPr>
          <w:rFonts w:hint="eastAsia" w:ascii="宋体" w:hAnsi="宋体"/>
          <w:color w:val="000000" w:themeColor="text1"/>
          <w:kern w:val="0"/>
          <w:sz w:val="24"/>
        </w:rPr>
        <w:t>(14</w:t>
      </w:r>
      <w:r>
        <w:rPr>
          <w:rFonts w:hint="eastAsia" w:ascii="宋体" w:hAnsi="宋体" w:cs="宋体"/>
          <w:color w:val="000000" w:themeColor="text1"/>
          <w:kern w:val="0"/>
          <w:sz w:val="24"/>
        </w:rPr>
        <w:t>）具有综合应用所学知识分析和解决旅行社经营管理中的实际问题的能力。</w:t>
      </w:r>
    </w:p>
    <w:p>
      <w:pPr>
        <w:widowControl/>
        <w:spacing w:line="400" w:lineRule="exact"/>
        <w:ind w:firstLine="600" w:firstLineChars="250"/>
        <w:jc w:val="left"/>
        <w:rPr>
          <w:rFonts w:ascii="宋体" w:hAnsi="宋体" w:cs="宋体"/>
          <w:color w:val="000000" w:themeColor="text1"/>
          <w:kern w:val="0"/>
          <w:sz w:val="24"/>
        </w:rPr>
      </w:pPr>
      <w:r>
        <w:rPr>
          <w:rFonts w:hint="eastAsia" w:ascii="宋体" w:hAnsi="宋体"/>
          <w:color w:val="000000" w:themeColor="text1"/>
          <w:kern w:val="0"/>
          <w:sz w:val="24"/>
        </w:rPr>
        <w:t>(15</w:t>
      </w:r>
      <w:r>
        <w:rPr>
          <w:rFonts w:hint="eastAsia" w:ascii="宋体" w:hAnsi="宋体" w:cs="宋体"/>
          <w:color w:val="000000" w:themeColor="text1"/>
          <w:kern w:val="0"/>
          <w:sz w:val="24"/>
        </w:rPr>
        <w:t>）具有从事旅游线路设计、旅游景点规划与开发工作的能力。</w:t>
      </w:r>
    </w:p>
    <w:p>
      <w:pPr>
        <w:widowControl/>
        <w:spacing w:line="400" w:lineRule="exact"/>
        <w:ind w:firstLine="600" w:firstLineChars="250"/>
        <w:jc w:val="left"/>
        <w:rPr>
          <w:rFonts w:ascii="宋体" w:hAnsi="宋体" w:cs="宋体"/>
          <w:color w:val="000000" w:themeColor="text1"/>
          <w:kern w:val="0"/>
          <w:sz w:val="24"/>
        </w:rPr>
      </w:pPr>
      <w:r>
        <w:rPr>
          <w:rFonts w:hint="eastAsia" w:ascii="宋体" w:hAnsi="宋体"/>
          <w:color w:val="000000" w:themeColor="text1"/>
          <w:kern w:val="0"/>
          <w:sz w:val="24"/>
        </w:rPr>
        <w:t>(16</w:t>
      </w:r>
      <w:r>
        <w:rPr>
          <w:rFonts w:hint="eastAsia" w:ascii="宋体" w:hAnsi="宋体" w:cs="宋体"/>
          <w:color w:val="000000" w:themeColor="text1"/>
          <w:kern w:val="0"/>
          <w:sz w:val="24"/>
        </w:rPr>
        <w:t>）具有旅游市场分析和旅游产品开发与营销的能力。</w:t>
      </w:r>
    </w:p>
    <w:p>
      <w:pPr>
        <w:widowControl/>
        <w:spacing w:line="400" w:lineRule="exact"/>
        <w:ind w:firstLine="600" w:firstLineChars="250"/>
        <w:jc w:val="left"/>
        <w:rPr>
          <w:rFonts w:ascii="宋体" w:hAnsi="宋体" w:cs="宋体"/>
          <w:color w:val="000000" w:themeColor="text1"/>
          <w:kern w:val="0"/>
          <w:sz w:val="24"/>
        </w:rPr>
      </w:pPr>
      <w:r>
        <w:rPr>
          <w:rFonts w:hint="eastAsia" w:ascii="宋体" w:hAnsi="宋体"/>
          <w:color w:val="000000" w:themeColor="text1"/>
          <w:kern w:val="0"/>
          <w:sz w:val="24"/>
        </w:rPr>
        <w:t>(17</w:t>
      </w:r>
      <w:r>
        <w:rPr>
          <w:rFonts w:hint="eastAsia" w:ascii="宋体" w:hAnsi="宋体" w:cs="宋体"/>
          <w:color w:val="000000" w:themeColor="text1"/>
          <w:kern w:val="0"/>
          <w:sz w:val="24"/>
        </w:rPr>
        <w:t>）具有较高的导游服务技巧及特色导游词撰写能力。</w:t>
      </w:r>
    </w:p>
    <w:p>
      <w:pPr>
        <w:widowControl/>
        <w:spacing w:line="400" w:lineRule="exact"/>
        <w:ind w:firstLine="600" w:firstLineChars="250"/>
        <w:jc w:val="left"/>
        <w:rPr>
          <w:rStyle w:val="34"/>
          <w:rFonts w:ascii="宋体" w:hAnsi="宋体" w:cs="宋体" w:eastAsiaTheme="minorEastAsia"/>
          <w:b w:val="0"/>
          <w:color w:val="000000" w:themeColor="text1"/>
          <w:sz w:val="24"/>
          <w:szCs w:val="22"/>
        </w:rPr>
      </w:pPr>
      <w:r>
        <w:rPr>
          <w:rFonts w:hint="eastAsia" w:ascii="宋体" w:hAnsi="宋体"/>
          <w:color w:val="000000" w:themeColor="text1"/>
          <w:kern w:val="0"/>
          <w:sz w:val="24"/>
        </w:rPr>
        <w:t>(18</w:t>
      </w:r>
      <w:r>
        <w:rPr>
          <w:rFonts w:hint="eastAsia" w:ascii="宋体" w:hAnsi="宋体" w:cs="宋体"/>
          <w:color w:val="000000" w:themeColor="text1"/>
          <w:kern w:val="0"/>
          <w:sz w:val="24"/>
        </w:rPr>
        <w:t>）具有较高的汉语和英语表达能力及人际沟通能力。</w:t>
      </w:r>
      <w:bookmarkStart w:id="11" w:name="_Toc492371615"/>
    </w:p>
    <w:p>
      <w:pPr>
        <w:adjustRightInd w:val="0"/>
        <w:snapToGrid w:val="0"/>
        <w:spacing w:line="400" w:lineRule="exact"/>
        <w:ind w:firstLine="472" w:firstLineChars="196"/>
        <w:jc w:val="left"/>
        <w:rPr>
          <w:rStyle w:val="34"/>
          <w:rFonts w:ascii="宋体" w:hAnsi="宋体" w:cs="宋体"/>
          <w:color w:val="000000" w:themeColor="text1"/>
          <w:sz w:val="24"/>
        </w:rPr>
      </w:pPr>
      <w:r>
        <w:rPr>
          <w:rStyle w:val="34"/>
          <w:rFonts w:hint="eastAsia" w:ascii="宋体" w:hAnsi="宋体" w:cs="宋体"/>
          <w:color w:val="000000" w:themeColor="text1"/>
          <w:sz w:val="24"/>
        </w:rPr>
        <w:t>五、职业范围</w:t>
      </w:r>
      <w:bookmarkEnd w:id="1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930"/>
        <w:gridCol w:w="28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color w:val="000000" w:themeColor="text1"/>
              </w:rPr>
            </w:pPr>
            <w:r>
              <w:rPr>
                <w:rFonts w:hint="eastAsia" w:ascii="宋体" w:hAnsi="宋体" w:cs="宋体"/>
                <w:b/>
                <w:color w:val="000000" w:themeColor="text1"/>
                <w:sz w:val="24"/>
              </w:rPr>
              <w:t>序号</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对应职业（岗位）</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职业资格证书举例</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导游资格证（普通话）</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景点讲解员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讲解员证、导游资格证</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旅行社文员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旅行社计调师证</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餐饮服务员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餐饮服务员（中级）</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饭店服务与管理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客房服务员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客房服务员（中级）</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饭店服务与管理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6</w:t>
            </w:r>
          </w:p>
        </w:tc>
        <w:tc>
          <w:tcPr>
            <w:tcW w:w="2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茶艺服务员</w:t>
            </w:r>
          </w:p>
        </w:tc>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茶艺师</w:t>
            </w:r>
          </w:p>
        </w:tc>
        <w:tc>
          <w:tcPr>
            <w:tcW w:w="20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饭店服务与管理</w:t>
            </w:r>
          </w:p>
        </w:tc>
      </w:tr>
    </w:tbl>
    <w:p>
      <w:pPr>
        <w:widowControl/>
        <w:spacing w:line="500" w:lineRule="exact"/>
        <w:ind w:firstLine="480" w:firstLineChars="200"/>
        <w:jc w:val="left"/>
        <w:rPr>
          <w:rStyle w:val="34"/>
          <w:b w:val="0"/>
          <w:color w:val="000000" w:themeColor="text1"/>
          <w:kern w:val="2"/>
          <w:sz w:val="24"/>
          <w:szCs w:val="22"/>
        </w:rPr>
      </w:pPr>
    </w:p>
    <w:p>
      <w:pPr>
        <w:adjustRightInd w:val="0"/>
        <w:snapToGrid w:val="0"/>
        <w:spacing w:line="400" w:lineRule="exact"/>
        <w:ind w:firstLine="482" w:firstLineChars="200"/>
        <w:jc w:val="left"/>
        <w:outlineLvl w:val="2"/>
        <w:rPr>
          <w:rStyle w:val="34"/>
          <w:rFonts w:ascii="宋体" w:hAnsi="宋体" w:cs="宋体"/>
          <w:color w:val="000000" w:themeColor="text1"/>
          <w:sz w:val="24"/>
          <w:szCs w:val="24"/>
        </w:rPr>
      </w:pPr>
    </w:p>
    <w:p>
      <w:pPr>
        <w:adjustRightInd w:val="0"/>
        <w:snapToGrid w:val="0"/>
        <w:spacing w:line="400" w:lineRule="exact"/>
        <w:ind w:firstLine="482" w:firstLineChars="200"/>
        <w:jc w:val="left"/>
        <w:rPr>
          <w:rStyle w:val="34"/>
          <w:rFonts w:ascii="宋体" w:hAnsi="宋体" w:cs="宋体"/>
          <w:color w:val="000000" w:themeColor="text1"/>
          <w:sz w:val="24"/>
        </w:rPr>
      </w:pPr>
      <w:bookmarkStart w:id="12" w:name="_Toc492371619"/>
      <w:r>
        <w:rPr>
          <w:rStyle w:val="34"/>
          <w:rFonts w:hint="eastAsia" w:ascii="宋体" w:hAnsi="宋体" w:cs="宋体"/>
          <w:color w:val="000000" w:themeColor="text1"/>
          <w:sz w:val="24"/>
        </w:rPr>
        <w:t>六、课程体系结构</w:t>
      </w:r>
      <w:bookmarkEnd w:id="12"/>
    </w:p>
    <w:p>
      <w:pPr>
        <w:tabs>
          <w:tab w:val="center" w:pos="4819"/>
        </w:tabs>
        <w:rPr>
          <w:color w:val="000000" w:themeColor="text1"/>
          <w:sz w:val="32"/>
          <w:szCs w:val="32"/>
        </w:rPr>
      </w:pPr>
      <w:r>
        <w:rPr>
          <w:color w:val="000000" w:themeColor="text1"/>
          <w:szCs w:val="24"/>
        </w:rPr>
        <w:pict>
          <v:shape id="_x0000_s1348" o:spid="_x0000_s1348" o:spt="32" type="#_x0000_t32" style="position:absolute;left:0pt;margin-left:-56.7pt;margin-top:-76.7pt;height:0.05pt;width:0.05pt;z-index:251659264;mso-width-relative:page;mso-height-relative:page;" o:connectortype="straight" filled="f" coordsize="21600,21600">
            <v:path arrowok="t"/>
            <v:fill on="f" focussize="0,0"/>
            <v:stroke/>
            <v:imagedata o:title=""/>
            <o:lock v:ext="edit"/>
          </v:shape>
        </w:pict>
      </w:r>
      <w:r>
        <w:rPr>
          <w:b/>
          <w:color w:val="000000" w:themeColor="text1"/>
          <w:sz w:val="32"/>
          <w:szCs w:val="32"/>
        </w:rPr>
        <w:tab/>
      </w:r>
    </w:p>
    <w:p>
      <w:pPr>
        <w:rPr>
          <w:color w:val="000000" w:themeColor="text1"/>
          <w:sz w:val="32"/>
          <w:szCs w:val="32"/>
        </w:rPr>
      </w:pPr>
      <w:r>
        <w:rPr>
          <w:sz w:val="21"/>
        </w:rPr>
        <w:pict>
          <v:shape id="_x0000_s1349" o:spid="_x0000_s1349" o:spt="202" type="#_x0000_t202" style="position:absolute;left:0pt;margin-left:207.6pt;margin-top:233.05pt;height:114.6pt;width:27.55pt;z-index:251661312;mso-width-relative:page;mso-height-relative:page;" fillcolor="#FFFFFF" filled="t" stroked="f" coordsize="21600,21600">
            <v:path/>
            <v:fill on="t" color2="#FFFFFF" focussize="0,0"/>
            <v:stroke on="f"/>
            <v:imagedata o:title=""/>
            <o:lock v:ext="edit" aspectratio="f"/>
            <v:textbox style="layout-flow:vertical-ideographic;">
              <w:txbxContent>
                <w:p>
                  <w:pPr>
                    <w:ind w:firstLine="400" w:firstLineChars="200"/>
                    <w:rPr>
                      <w:rFonts w:hint="eastAsia" w:ascii="微软雅黑" w:hAnsi="微软雅黑" w:eastAsia="微软雅黑" w:cs="微软雅黑"/>
                      <w:b w:val="0"/>
                      <w:bCs w:val="0"/>
                      <w:color w:val="1B1B1B"/>
                      <w:sz w:val="20"/>
                      <w:szCs w:val="20"/>
                      <w:lang w:val="en-US" w:eastAsia="zh-CN"/>
                    </w:rPr>
                  </w:pPr>
                  <w:r>
                    <w:rPr>
                      <w:rFonts w:hint="eastAsia" w:ascii="微软雅黑" w:hAnsi="微软雅黑" w:eastAsia="微软雅黑" w:cs="微软雅黑"/>
                      <w:b w:val="0"/>
                      <w:bCs w:val="0"/>
                      <w:color w:val="1B1B1B"/>
                      <w:sz w:val="20"/>
                      <w:szCs w:val="20"/>
                      <w:lang w:val="en-US" w:eastAsia="zh-CN"/>
                    </w:rPr>
                    <w:t>餐饮服务与管理</w:t>
                  </w:r>
                </w:p>
              </w:txbxContent>
            </v:textbox>
          </v:shape>
        </w:pict>
      </w:r>
      <w:r>
        <w:drawing>
          <wp:anchor distT="0" distB="0" distL="114300" distR="114300" simplePos="0" relativeHeight="251660288" behindDoc="0" locked="0" layoutInCell="1" allowOverlap="1">
            <wp:simplePos x="0" y="0"/>
            <wp:positionH relativeFrom="column">
              <wp:posOffset>-57150</wp:posOffset>
            </wp:positionH>
            <wp:positionV relativeFrom="paragraph">
              <wp:posOffset>102870</wp:posOffset>
            </wp:positionV>
            <wp:extent cx="5754370" cy="6228715"/>
            <wp:effectExtent l="0" t="0" r="1778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754370" cy="6228715"/>
                    </a:xfrm>
                    <a:prstGeom prst="rect">
                      <a:avLst/>
                    </a:prstGeom>
                    <a:noFill/>
                    <a:ln>
                      <a:noFill/>
                    </a:ln>
                  </pic:spPr>
                </pic:pic>
              </a:graphicData>
            </a:graphic>
          </wp:anchor>
        </w:drawing>
      </w:r>
      <w:r>
        <w:drawing>
          <wp:inline distT="0" distB="0" distL="114300" distR="114300">
            <wp:extent cx="5754370" cy="6600190"/>
            <wp:effectExtent l="0" t="0" r="1778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754370" cy="6600190"/>
                    </a:xfrm>
                    <a:prstGeom prst="rect">
                      <a:avLst/>
                    </a:prstGeom>
                    <a:noFill/>
                    <a:ln>
                      <a:noFill/>
                    </a:ln>
                  </pic:spPr>
                </pic:pic>
              </a:graphicData>
            </a:graphic>
          </wp:inline>
        </w:drawing>
      </w:r>
    </w:p>
    <w:p>
      <w:pPr>
        <w:tabs>
          <w:tab w:val="left" w:pos="6090"/>
          <w:tab w:val="right" w:pos="9638"/>
        </w:tabs>
        <w:jc w:val="left"/>
        <w:rPr>
          <w:color w:val="000000" w:themeColor="text1"/>
          <w:sz w:val="32"/>
          <w:szCs w:val="32"/>
        </w:rPr>
      </w:pPr>
      <w:r>
        <w:rPr>
          <w:color w:val="000000" w:themeColor="text1"/>
          <w:sz w:val="32"/>
          <w:szCs w:val="32"/>
        </w:rPr>
        <w:tab/>
      </w:r>
      <w:r>
        <w:rPr>
          <w:color w:val="000000" w:themeColor="text1"/>
          <w:sz w:val="32"/>
          <w:szCs w:val="32"/>
        </w:rPr>
        <w:tab/>
      </w:r>
    </w:p>
    <w:p>
      <w:pPr>
        <w:jc w:val="right"/>
        <w:rPr>
          <w:color w:val="000000" w:themeColor="text1"/>
          <w:sz w:val="32"/>
          <w:szCs w:val="32"/>
        </w:rPr>
      </w:pPr>
    </w:p>
    <w:p>
      <w:pPr>
        <w:adjustRightInd w:val="0"/>
        <w:snapToGrid w:val="0"/>
        <w:spacing w:line="400" w:lineRule="exact"/>
        <w:ind w:firstLine="482" w:firstLineChars="200"/>
        <w:jc w:val="left"/>
        <w:rPr>
          <w:rFonts w:ascii="宋体" w:hAnsi="宋体" w:cs="宋体"/>
          <w:bCs/>
          <w:color w:val="000000" w:themeColor="text1"/>
          <w:sz w:val="24"/>
        </w:rPr>
      </w:pPr>
      <w:bookmarkStart w:id="13" w:name="_Toc492371620"/>
      <w:r>
        <w:rPr>
          <w:rStyle w:val="34"/>
          <w:rFonts w:hint="eastAsia" w:ascii="宋体" w:hAnsi="宋体" w:cs="宋体"/>
          <w:color w:val="000000" w:themeColor="text1"/>
          <w:sz w:val="24"/>
        </w:rPr>
        <w:t>七、课程设置及要求</w:t>
      </w:r>
      <w:bookmarkEnd w:id="13"/>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本专业课程设置分为公共基础课、专业课和实习实训课。</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公共基础课包括思想政治课、文化课、历史、信息技术、体育与健康、公共艺术，以及其他自然科学和人文科学类基础课。</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专业课包括专业核心课、专业技能课和专业选修课等。</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实习实训含校内外实训、认识实习、跟岗实习和顶岗实习等多种形式。</w:t>
      </w:r>
    </w:p>
    <w:p>
      <w:pPr>
        <w:adjustRightInd w:val="0"/>
        <w:snapToGrid w:val="0"/>
        <w:spacing w:line="400" w:lineRule="exact"/>
        <w:ind w:firstLine="482" w:firstLineChars="200"/>
        <w:jc w:val="left"/>
        <w:rPr>
          <w:rFonts w:ascii="宋体" w:hAnsi="宋体" w:cs="宋体"/>
          <w:color w:val="000000" w:themeColor="text1"/>
          <w:sz w:val="24"/>
        </w:rPr>
      </w:pPr>
      <w:bookmarkStart w:id="14" w:name="_Toc492371621"/>
      <w:r>
        <w:rPr>
          <w:rStyle w:val="34"/>
          <w:rFonts w:hint="eastAsia" w:ascii="宋体" w:hAnsi="宋体" w:cs="宋体"/>
          <w:color w:val="000000" w:themeColor="text1"/>
          <w:sz w:val="24"/>
        </w:rPr>
        <w:t>（一）公共基础课</w:t>
      </w:r>
      <w:bookmarkEnd w:id="14"/>
    </w:p>
    <w:tbl>
      <w:tblPr>
        <w:tblStyle w:val="2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9"/>
        <w:gridCol w:w="1276"/>
        <w:gridCol w:w="607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课程名称</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主要教学内容和要求</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参考</w:t>
            </w:r>
          </w:p>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思想政治</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依据《中等职业学校思想政治课程标准》开设，并与专业实际和行业发展密切结合。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语文</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依据《中等职业学校语文课程标准》开设，并与专业实际和行业发展密切结合。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数学</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依据《中等职业学校数学课程标准》开设，并与专业实际和行业发展密切结合。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英语</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依据《中等职业学校英语课程标准》开设，并与专业实际和行业发展密切结合。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信息技术</w:t>
            </w:r>
          </w:p>
        </w:tc>
        <w:tc>
          <w:tcPr>
            <w:tcW w:w="6076" w:type="dxa"/>
            <w:tcBorders>
              <w:top w:val="single" w:color="auto" w:sz="4" w:space="0"/>
              <w:left w:val="single" w:color="auto" w:sz="4" w:space="0"/>
              <w:bottom w:val="single" w:color="auto" w:sz="4" w:space="0"/>
              <w:right w:val="single" w:color="auto" w:sz="4" w:space="0"/>
            </w:tcBorders>
            <w:vAlign w:val="center"/>
          </w:tcPr>
          <w:p>
            <w:pPr>
              <w:pStyle w:val="60"/>
              <w:shd w:val="clear" w:color="auto" w:fill="FFFFFF"/>
              <w:spacing w:before="0" w:beforeAutospacing="0" w:after="0" w:afterAutospacing="0" w:line="400" w:lineRule="exact"/>
              <w:ind w:firstLine="420" w:firstLineChars="200"/>
              <w:rPr>
                <w:rFonts w:cs="Arial"/>
                <w:color w:val="000000" w:themeColor="text1"/>
                <w:kern w:val="2"/>
                <w:sz w:val="21"/>
                <w:szCs w:val="21"/>
              </w:rPr>
            </w:pPr>
            <w:r>
              <w:rPr>
                <w:rFonts w:hint="eastAsia"/>
                <w:color w:val="000000" w:themeColor="text1"/>
                <w:kern w:val="2"/>
                <w:sz w:val="21"/>
                <w:szCs w:val="21"/>
              </w:rPr>
              <w:t>依据《中等职业学校信息技术课程标准》开设，并与专业实际和行业发展密切结合。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体育与健康</w:t>
            </w:r>
          </w:p>
        </w:tc>
        <w:tc>
          <w:tcPr>
            <w:tcW w:w="60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jc w:val="left"/>
              <w:rPr>
                <w:rFonts w:ascii="宋体" w:hAnsi="宋体" w:cs="宋体"/>
                <w:color w:val="000000" w:themeColor="text1"/>
                <w:kern w:val="0"/>
                <w:szCs w:val="21"/>
              </w:rPr>
            </w:pPr>
            <w:r>
              <w:rPr>
                <w:rFonts w:hint="eastAsia" w:ascii="宋体" w:hAnsi="宋体"/>
                <w:color w:val="000000" w:themeColor="text1"/>
                <w:szCs w:val="21"/>
              </w:rPr>
              <w:t>依据《中等职业学校体育与健康课程标准》开设，并与专业实际和行业发展密切结合。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olor w:val="000000" w:themeColor="text1"/>
                <w:szCs w:val="21"/>
              </w:rPr>
              <w:t>艺术</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依据《中等职业学校艺术课程标准》开设，并与专业实际和行业发展密切结。</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themeColor="text1"/>
                <w:szCs w:val="21"/>
                <w:highlight w:val="yellow"/>
              </w:rPr>
            </w:pPr>
            <w:r>
              <w:rPr>
                <w:rFonts w:hint="eastAsia" w:ascii="宋体" w:hAnsi="宋体"/>
                <w:color w:val="000000" w:themeColor="text1"/>
                <w:szCs w:val="21"/>
              </w:rPr>
              <w:t>历史</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依据《中等职业学校历史课程标准》开设，并与专业实际和行业发展密切结合。</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Cs w:val="21"/>
              </w:rPr>
            </w:pPr>
            <w:r>
              <w:rPr>
                <w:rFonts w:hint="eastAsia" w:ascii="宋体" w:hAnsi="宋体" w:cs="宋体"/>
                <w:b/>
                <w:color w:val="000000" w:themeColor="text1"/>
                <w:szCs w:val="21"/>
              </w:rPr>
              <w:t>公共基础课合计</w:t>
            </w:r>
          </w:p>
        </w:tc>
        <w:tc>
          <w:tcPr>
            <w:tcW w:w="60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rPr>
                <w:rFonts w:ascii="宋体" w:hAnsi="宋体" w:cs="宋体"/>
                <w:b/>
                <w:color w:val="000000" w:themeColor="text1"/>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Cs w:val="21"/>
              </w:rPr>
            </w:pPr>
            <w:r>
              <w:rPr>
                <w:rFonts w:hint="eastAsia" w:ascii="宋体" w:hAnsi="宋体" w:cs="宋体"/>
                <w:b/>
                <w:color w:val="000000" w:themeColor="text1"/>
                <w:szCs w:val="21"/>
              </w:rPr>
              <w:t>1160</w:t>
            </w:r>
          </w:p>
        </w:tc>
      </w:tr>
    </w:tbl>
    <w:p>
      <w:pPr>
        <w:adjustRightInd w:val="0"/>
        <w:snapToGrid w:val="0"/>
        <w:spacing w:line="400" w:lineRule="exact"/>
        <w:ind w:firstLine="482" w:firstLineChars="200"/>
        <w:jc w:val="left"/>
        <w:rPr>
          <w:rStyle w:val="34"/>
          <w:rFonts w:ascii="宋体" w:hAnsi="宋体" w:cs="宋体"/>
          <w:color w:val="000000" w:themeColor="text1"/>
          <w:sz w:val="24"/>
        </w:rPr>
      </w:pPr>
      <w:bookmarkStart w:id="15" w:name="_Toc492371622"/>
      <w:r>
        <w:rPr>
          <w:rStyle w:val="34"/>
          <w:rFonts w:hint="eastAsia" w:ascii="宋体" w:hAnsi="宋体" w:cs="宋体"/>
          <w:color w:val="000000" w:themeColor="text1"/>
          <w:sz w:val="24"/>
        </w:rPr>
        <w:t>（二）专业课</w:t>
      </w:r>
      <w:bookmarkEnd w:id="15"/>
    </w:p>
    <w:p>
      <w:pPr>
        <w:adjustRightInd w:val="0"/>
        <w:snapToGrid w:val="0"/>
        <w:spacing w:line="400" w:lineRule="exact"/>
        <w:ind w:firstLine="482" w:firstLineChars="200"/>
        <w:jc w:val="left"/>
        <w:rPr>
          <w:color w:val="000000" w:themeColor="text1"/>
        </w:rPr>
      </w:pPr>
      <w:r>
        <w:rPr>
          <w:rFonts w:hint="eastAsia" w:ascii="宋体" w:hAnsi="宋体" w:cs="宋体"/>
          <w:b/>
          <w:color w:val="000000" w:themeColor="text1"/>
          <w:sz w:val="24"/>
        </w:rPr>
        <w:t>1.专业核心课</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43"/>
        <w:gridCol w:w="567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课程名称</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主要教学内容和要求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参考</w:t>
            </w:r>
          </w:p>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旅游概论</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课程概括了解旅游的概念，提高学生运用旅游的基本理论、基本原理、基本方法去发现问题、分析问题以及解决问题的能力。具体要求学生了解旅游的本质及社会性质、揭示旅游活动的产生、发展与社会经济发展的关系；了解旅游活动的基本要素及各要素之间的关系；了解旅游业的实质、结构和组织，正确认识旅游业与其他行业的关系；了解旅游行政组织和旅游政策的重要意义。</w:t>
            </w:r>
          </w:p>
          <w:p>
            <w:pPr>
              <w:adjustRightInd w:val="0"/>
              <w:snapToGrid w:val="0"/>
              <w:spacing w:line="400" w:lineRule="exact"/>
              <w:ind w:firstLine="420" w:firstLineChars="200"/>
              <w:jc w:val="left"/>
              <w:rPr>
                <w:rFonts w:ascii="宋体" w:hAnsi="宋体" w:cs="宋体"/>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旅游心理学</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8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课程主要是要使学生通过本大纲所规定的全部教学内容的学习，掌握有关旅游心理学的基本理论，达到在具体工作和生活中运用相关知识解决具体问题的能力。具体应使学生能系统地掌握旅游心理学的基本理论、基本观点和基础知识，能运用旅游心理学的基本理论、基本原则、基本方法指导旅游企业的管理、服务工作，为做好旅游营销、旅游服务和旅游企业管理等方面的工作提供心理学依据和指导。</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导游基础知识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宋体" w:hAnsi="宋体" w:cs="宋体"/>
                <w:color w:val="000000" w:themeColor="text1"/>
                <w:szCs w:val="21"/>
              </w:rPr>
            </w:pPr>
            <w:r>
              <w:rPr>
                <w:rFonts w:hint="eastAsia" w:ascii="宋体" w:hAnsi="宋体"/>
                <w:color w:val="000000" w:themeColor="text1"/>
                <w:szCs w:val="21"/>
                <w:shd w:val="clear" w:color="auto" w:fill="FFFFFF"/>
              </w:rPr>
              <w:t> </w:t>
            </w:r>
            <w:r>
              <w:rPr>
                <w:rFonts w:hint="eastAsia" w:ascii="宋体" w:hAnsi="宋体"/>
                <w:color w:val="000000" w:themeColor="text1"/>
                <w:szCs w:val="21"/>
              </w:rPr>
              <w:t>通过本课程的学习，使学生掌握中国历史文化、中国民族民俗、中国宗教文化、中国饮食文化、传统工艺、古代建筑等人物知识。在此基础上提升学生的专业素养。</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餐饮服务与管理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shd w:val="clear" w:color="auto" w:fill="FFFFFF"/>
              </w:rPr>
              <w:t>《餐饮服务与管理》教学过程中的重要实践性教学环节之一。《餐饮服务与管理》实训课全面而系统地对餐饮服务的服务礼仪、操作技能、服务方法进行了培训和练习；突出对学生作为餐饮中、高级服务人员和初、中级管理人员（领班、主管等）必有的服务礼仪规范、操作能力、组织能力、指导能力、突发情况处理能力的培训。内容突出餐饮服务员、领班、主管岗位所需技能和能力的训练。</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5</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客房服务与管理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客房服务与管理是饭店服务与旅游专业的一门主干专业课程本课程的主要任务是讲授饭店客房服务与管理的基础知识。训练学生饭店客房服务的操作技能。培养学生从事饭店客房服务与客房部基层管理工作的能力。适应待业发展与职业变化的能力。</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6</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中国旅游地理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20" w:firstLineChars="200"/>
              <w:jc w:val="left"/>
              <w:rPr>
                <w:rFonts w:ascii="宋体" w:hAnsi="宋体"/>
                <w:color w:val="000000" w:themeColor="text1"/>
                <w:szCs w:val="21"/>
              </w:rPr>
            </w:pPr>
            <w:r>
              <w:rPr>
                <w:rFonts w:hint="eastAsia" w:ascii="宋体" w:hAnsi="宋体"/>
                <w:color w:val="000000" w:themeColor="text1"/>
                <w:szCs w:val="21"/>
              </w:rPr>
              <w:t>通过本课程的学习，使学生明确旅游地理学的学科性质和特点，研究对象和内容，以及以中国特定地域为研究对象的中国旅游地理的研究内容和任务，明确发展旅游业与我国旅游地理环境之间相互作用和协调发展的关系以及中国旅游资源可持续开发利用的发展方向，重点掌握中国旅游资源的基本特征和时空分布受其形成的原因。掌握各分区最具特色的优势旅游资源。主要旅游区和景点及其旅游价值以及重要旅游线路。</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7</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前厅服务与管理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通过本课程的学习，使学生掌握前厅服务相关的预定服务、总台接待服务、礼宾服务、客户关系维护、电话总机服务、商务中心服务等岗位能力与服务技能技巧。学生不仅能够学习酒店服务文化，而且能够根据客人的需求，提供相应的前厅服务，从而满足客人的需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120</w:t>
            </w:r>
          </w:p>
        </w:tc>
      </w:tr>
    </w:tbl>
    <w:p>
      <w:pPr>
        <w:widowControl/>
        <w:spacing w:afterLines="50"/>
        <w:ind w:firstLine="482" w:firstLineChars="200"/>
        <w:jc w:val="left"/>
        <w:rPr>
          <w:rFonts w:ascii="宋体" w:hAnsi="宋体" w:cs="宋体"/>
          <w:b/>
          <w:color w:val="000000" w:themeColor="text1"/>
          <w:sz w:val="24"/>
        </w:rPr>
      </w:pPr>
    </w:p>
    <w:p>
      <w:pPr>
        <w:widowControl/>
        <w:spacing w:afterLines="50" w:line="240" w:lineRule="auto"/>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2.专业技能课</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67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课程名称</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主要教学内容和要求</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参考</w:t>
            </w:r>
          </w:p>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综</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合</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实</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训</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礼貌礼节</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要求学生通过对该课程的学习，在理论上，掌握文化的一般常识；在实践中，能践行基本的礼仪文化知识，减少甚至避免因缺乏礼仪文化知识而导致的交际失误。</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形体训练</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形体训练是融体操、舞蹈、音乐与一体，以“美”为其特征得身体练习。要求掌握形体训练的基本技术，基本技能和各类动作的基本核心动作，提高身体灵活性和可塑性；提高鉴别和评价形体美、动作美、气质风度及表现美的能力。</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综</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合</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实</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训</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中华茶艺</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本课程通过为学生讲授中国茶的魅力，即中国茶的魅力在于“六美”——茶叶之美、茶汤之美、茶具之美、茶人之美、茶技之美、茶境之美，激发学生对茶艺课的兴趣，为后续学习打好基础。</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国学经典诵读</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kern w:val="0"/>
                <w:szCs w:val="21"/>
              </w:rPr>
              <w:t>本课程主要讲述了国学的基础知识，向学生传达中国传统文化的精髓。帮助学生通过阅读、学习拓宽视野，会用恰当得体的语言介绍中国文化；加深对中国文化的全面了解，从而越来越热爱中国古老的文明，增强爱国之情。同时也提升学生内涵素质和专业文化素质。</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综</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合</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实</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训</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导游实务</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本课程力求突出操作性，除介绍导游服务的基本原则和程序外，将重点介绍导游服务的基本素质和基本技能。重点了解导游服务的性质和特点、服务原则；掌握导游人员的带团技能、语言技能和讲解技能；掌握全陪、地陪在团队导游的服务程序和散客导游服务程序中的服务流程；了解导游服务过程中常见问题和事故的应对。</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普通话</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普通话》课程是针对现代中等职业教育的人才培养目标、办学方针而设立的，是一门职业素质教育课程。旨在培养学生普通话口语表达能力，提高学生普通话口语表达水平。是一门在理论的指导下，实践性很强的课程。</w:t>
            </w:r>
          </w:p>
          <w:p>
            <w:pPr>
              <w:widowControl/>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kern w:val="0"/>
                <w:szCs w:val="21"/>
              </w:rPr>
              <w:t>《普通话》课程对学生职业能力的培养和职业素质的养成起着主要的支撑作用，奠定了现代职业对人才职业能力和职业素养高规格要求的基石。</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综</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合</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实</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训</w:t>
            </w:r>
          </w:p>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酒水知识</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酒水知识与酒吧管理》系统介绍了酒水和酒吧的相关知识，主要包括：酒精饮料和非酒精饮料的分类、特点、发展、原料、制作工艺、饮用礼仪、功效以及经济运用等方面的知识；混合酒水饮料的起源、发展、分类、制作原则、调制方法和特点；酒吧的形式、类别、设计、经营管理和服务要求。旨在培养学生健康高雅的生活情趣，提高学生的综合素养，适应酒店餐饮和社会餐饮经营管理的需要。</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插花艺术</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宋体" w:hAnsi="宋体"/>
                <w:color w:val="000000" w:themeColor="text1"/>
                <w:szCs w:val="21"/>
              </w:rPr>
            </w:pPr>
            <w:r>
              <w:rPr>
                <w:rFonts w:hint="eastAsia" w:ascii="宋体" w:hAnsi="宋体"/>
                <w:color w:val="000000" w:themeColor="text1"/>
                <w:szCs w:val="21"/>
              </w:rPr>
              <w:t>通过本课程教学，使学生了解中、西方插花的历史，掌握插花艺术学的基本知识，领悟插花造型与鉴赏的基本原理，提高学生对插花、盆景与压花等花卉艺术品的创作与应用能力，提高学生的专业素质增强学生的艺术修养，培养学生对花卉艺术品的鉴赏能力，促进学生综合素质的提高。</w:t>
            </w: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rPr>
            </w:pPr>
          </w:p>
        </w:tc>
      </w:tr>
    </w:tbl>
    <w:p>
      <w:pPr>
        <w:adjustRightInd w:val="0"/>
        <w:snapToGrid w:val="0"/>
        <w:spacing w:line="400" w:lineRule="exact"/>
        <w:ind w:left="480"/>
        <w:jc w:val="left"/>
        <w:rPr>
          <w:rFonts w:ascii="宋体" w:hAnsi="宋体" w:cs="宋体"/>
          <w:b/>
          <w:color w:val="000000" w:themeColor="text1"/>
          <w:sz w:val="24"/>
        </w:rPr>
      </w:pPr>
      <w:r>
        <w:rPr>
          <w:rFonts w:hint="eastAsia" w:ascii="宋体" w:hAnsi="宋体" w:cs="宋体"/>
          <w:b/>
          <w:color w:val="000000" w:themeColor="text1"/>
          <w:sz w:val="24"/>
        </w:rPr>
        <w:t>3.选修课</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65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课程名称</w:t>
            </w:r>
          </w:p>
        </w:tc>
        <w:tc>
          <w:tcPr>
            <w:tcW w:w="5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主要教学内容和要求</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参考</w:t>
            </w:r>
          </w:p>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**市情</w:t>
            </w:r>
          </w:p>
        </w:tc>
        <w:tc>
          <w:tcPr>
            <w:tcW w:w="565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themeColor="text1"/>
                <w:szCs w:val="21"/>
              </w:rPr>
            </w:pPr>
            <w:r>
              <w:rPr>
                <w:rFonts w:hint="eastAsia" w:ascii="宋体" w:hAnsi="宋体"/>
                <w:color w:val="000000" w:themeColor="text1"/>
                <w:kern w:val="0"/>
                <w:szCs w:val="21"/>
              </w:rPr>
              <w:t xml:space="preserve">    本课程是我校教师编写的校本教材。本书介绍了**市地貌特点、地域矿产和人文风貌等。通过对课程的学习，使学生更加认识、了解家乡，从而提升学生对家乡的热爱之情。</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书法</w:t>
            </w:r>
          </w:p>
        </w:tc>
        <w:tc>
          <w:tcPr>
            <w:tcW w:w="5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本课程讲授正确的写字姿势和良好的写字习惯。掌握汉字的间架结构。从而提高学生的审美能力，增强对祖国语言文字的热爱，加深对优秀文化的理解，增进学识修养。</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文学欣赏</w:t>
            </w:r>
          </w:p>
        </w:tc>
        <w:tc>
          <w:tcPr>
            <w:tcW w:w="56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315" w:firstLineChars="150"/>
              <w:rPr>
                <w:rFonts w:ascii="宋体" w:hAnsi="宋体"/>
                <w:color w:val="000000" w:themeColor="text1"/>
                <w:szCs w:val="21"/>
              </w:rPr>
            </w:pPr>
            <w:r>
              <w:rPr>
                <w:rFonts w:hint="eastAsia" w:ascii="宋体" w:hAnsi="宋体"/>
                <w:color w:val="000000" w:themeColor="text1"/>
                <w:szCs w:val="21"/>
              </w:rPr>
              <w:t>人文经典的阅读与欣赏的功能是多方面的，本课程应关注学生的人文精神的进一步发展，帮助学生在与经典的对话实践中，掌握基本的阅读欣赏方法，增强语言的应用能力，培养对文学问题的探究能力。在教学中，充分发挥本课程在学生情感、态度、价值观等方面导向的优势，促进学生精神的全面发展。</w:t>
            </w:r>
          </w:p>
        </w:tc>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rPr>
            </w:pPr>
            <w:r>
              <w:rPr>
                <w:rFonts w:hint="eastAsia" w:ascii="宋体" w:hAnsi="宋体" w:cs="宋体"/>
                <w:color w:val="000000" w:themeColor="text1"/>
                <w:szCs w:val="21"/>
              </w:rPr>
              <w:t>40</w:t>
            </w:r>
          </w:p>
        </w:tc>
      </w:tr>
    </w:tbl>
    <w:p>
      <w:pPr>
        <w:adjustRightInd w:val="0"/>
        <w:snapToGrid w:val="0"/>
        <w:spacing w:line="400" w:lineRule="exact"/>
        <w:ind w:firstLine="482" w:firstLineChars="200"/>
        <w:jc w:val="left"/>
        <w:rPr>
          <w:rStyle w:val="34"/>
          <w:rFonts w:ascii="宋体" w:hAnsi="宋体"/>
          <w:color w:val="000000" w:themeColor="text1"/>
          <w:sz w:val="24"/>
        </w:rPr>
      </w:pPr>
      <w:bookmarkStart w:id="16" w:name="_Toc492371623"/>
      <w:r>
        <w:rPr>
          <w:rStyle w:val="34"/>
          <w:rFonts w:hint="eastAsia" w:ascii="宋体" w:hAnsi="宋体"/>
          <w:color w:val="000000" w:themeColor="text1"/>
          <w:sz w:val="24"/>
        </w:rPr>
        <w:t>（三）实习实训课</w:t>
      </w:r>
      <w:bookmarkEnd w:id="16"/>
    </w:p>
    <w:p>
      <w:pPr>
        <w:adjustRightInd w:val="0"/>
        <w:snapToGrid w:val="0"/>
        <w:spacing w:line="400" w:lineRule="exact"/>
        <w:ind w:firstLine="482" w:firstLineChars="200"/>
        <w:jc w:val="left"/>
        <w:rPr>
          <w:rFonts w:cs="宋体"/>
          <w:color w:val="000000" w:themeColor="text1"/>
        </w:rPr>
      </w:pPr>
      <w:r>
        <w:rPr>
          <w:rFonts w:hint="eastAsia" w:ascii="宋体" w:hAnsi="宋体" w:cs="宋体"/>
          <w:b/>
          <w:color w:val="000000" w:themeColor="text1"/>
          <w:sz w:val="24"/>
        </w:rPr>
        <w:t>1.校内综合实训</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67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color w:val="000000" w:themeColor="text1"/>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color w:val="000000" w:themeColor="text1"/>
                <w:sz w:val="24"/>
              </w:rPr>
              <w:t>课程名称</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color w:val="000000" w:themeColor="text1"/>
                <w:sz w:val="24"/>
              </w:rPr>
              <w:t>主要教学内容和要求</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参考</w:t>
            </w:r>
          </w:p>
          <w:p>
            <w:pPr>
              <w:adjustRightInd w:val="0"/>
              <w:snapToGrid w:val="0"/>
              <w:spacing w:line="240" w:lineRule="auto"/>
              <w:jc w:val="center"/>
              <w:rPr>
                <w:rFonts w:ascii="宋体" w:hAnsi="宋体" w:cs="宋体"/>
                <w:b/>
                <w:bCs/>
                <w:color w:val="000000" w:themeColor="text1"/>
                <w:sz w:val="24"/>
              </w:rPr>
            </w:pPr>
            <w:r>
              <w:rPr>
                <w:rFonts w:hint="eastAsia" w:ascii="宋体" w:hAnsi="宋体" w:cs="宋体"/>
                <w:b/>
                <w:color w:val="000000" w:themeColor="text1"/>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color w:val="000000" w:themeColor="text1"/>
                <w:szCs w:val="21"/>
              </w:rPr>
            </w:pPr>
            <w:r>
              <w:rPr>
                <w:rFonts w:hint="eastAsia" w:ascii="宋体" w:hAnsi="宋体" w:cs="宋体"/>
                <w:bCs/>
                <w:color w:val="000000" w:themeColor="text1"/>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礼仪训练</w:t>
            </w:r>
          </w:p>
        </w:tc>
        <w:tc>
          <w:tcPr>
            <w:tcW w:w="5670"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通过训练，提高基本礼仪知识，为学生就业打下基础。</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Cs/>
                <w:color w:val="000000" w:themeColor="text1"/>
                <w:szCs w:val="21"/>
              </w:rPr>
            </w:pPr>
            <w:r>
              <w:rPr>
                <w:rFonts w:hint="eastAsia" w:ascii="宋体" w:hAnsi="宋体" w:cs="宋体"/>
                <w:bCs/>
                <w:color w:val="000000" w:themeColor="text1"/>
                <w:szCs w:val="21"/>
              </w:rPr>
              <w:t>理实一体教学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color w:val="000000" w:themeColor="text1"/>
                <w:szCs w:val="21"/>
              </w:rPr>
            </w:pPr>
            <w:r>
              <w:rPr>
                <w:rFonts w:hint="eastAsia" w:ascii="宋体" w:hAnsi="宋体" w:cs="宋体"/>
                <w:bCs/>
                <w:color w:val="000000" w:themeColor="text1"/>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导游实务训练</w:t>
            </w:r>
          </w:p>
        </w:tc>
        <w:tc>
          <w:tcPr>
            <w:tcW w:w="567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bCs/>
                <w:color w:val="000000" w:themeColor="text1"/>
                <w:szCs w:val="21"/>
              </w:rPr>
            </w:pPr>
            <w:r>
              <w:rPr>
                <w:rFonts w:hint="eastAsia" w:ascii="宋体" w:hAnsi="宋体" w:cs="宋体"/>
                <w:bCs/>
                <w:color w:val="000000" w:themeColor="text1"/>
                <w:szCs w:val="21"/>
              </w:rPr>
              <w:t>通过训练，让学生熟悉导游服务流程和基本工作性质，为上岗工作奠定基础。</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color w:val="000000" w:themeColor="text1"/>
                <w:szCs w:val="21"/>
              </w:rPr>
            </w:pPr>
            <w:r>
              <w:rPr>
                <w:rFonts w:hint="eastAsia" w:ascii="宋体" w:hAnsi="宋体" w:cs="宋体"/>
                <w:bCs/>
                <w:color w:val="000000" w:themeColor="text1"/>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餐饮实训</w:t>
            </w:r>
          </w:p>
        </w:tc>
        <w:tc>
          <w:tcPr>
            <w:tcW w:w="5670"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通过实习实训，打下坚实基础，为就业做准备。</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color w:val="000000" w:themeColor="text1"/>
                <w:szCs w:val="21"/>
              </w:rPr>
            </w:pPr>
            <w:r>
              <w:rPr>
                <w:rFonts w:hint="eastAsia" w:ascii="宋体" w:hAnsi="宋体" w:cs="宋体"/>
                <w:bCs/>
                <w:color w:val="000000" w:themeColor="text1"/>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客房实训</w:t>
            </w:r>
          </w:p>
        </w:tc>
        <w:tc>
          <w:tcPr>
            <w:tcW w:w="5670"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通过实习实训，打下坚实基础，为就业做准备</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color w:val="000000" w:themeColor="text1"/>
                <w:szCs w:val="21"/>
              </w:rPr>
            </w:pPr>
            <w:r>
              <w:rPr>
                <w:rFonts w:hint="eastAsia" w:ascii="宋体" w:hAnsi="宋体" w:cs="宋体"/>
                <w:bCs/>
                <w:color w:val="000000" w:themeColor="text1"/>
                <w:szCs w:val="21"/>
              </w:rPr>
              <w:t>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茶艺实训</w:t>
            </w:r>
          </w:p>
        </w:tc>
        <w:tc>
          <w:tcPr>
            <w:tcW w:w="5670" w:type="dxa"/>
            <w:tcBorders>
              <w:top w:val="single" w:color="auto" w:sz="4" w:space="0"/>
              <w:left w:val="single" w:color="auto" w:sz="4" w:space="0"/>
              <w:bottom w:val="single" w:color="auto" w:sz="4" w:space="0"/>
              <w:right w:val="single" w:color="auto" w:sz="4" w:space="0"/>
            </w:tcBorders>
          </w:tcPr>
          <w:p>
            <w:pPr>
              <w:spacing w:line="380" w:lineRule="exact"/>
              <w:jc w:val="left"/>
              <w:rPr>
                <w:rFonts w:ascii="宋体" w:hAnsi="宋体" w:cs="宋体"/>
                <w:bCs/>
                <w:color w:val="000000" w:themeColor="text1"/>
                <w:szCs w:val="21"/>
              </w:rPr>
            </w:pPr>
            <w:r>
              <w:rPr>
                <w:rFonts w:hint="eastAsia" w:ascii="宋体" w:hAnsi="宋体" w:cs="宋体"/>
                <w:bCs/>
                <w:color w:val="000000" w:themeColor="text1"/>
                <w:szCs w:val="21"/>
              </w:rPr>
              <w:t>通过品赏茶的美感之道，提高学生自身素质，陶冶情操。</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themeColor="text1"/>
                <w:szCs w:val="21"/>
              </w:rPr>
            </w:pPr>
          </w:p>
        </w:tc>
      </w:tr>
    </w:tbl>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2.顶岗实习</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认真落实教育部、财政部关于《中等职业学校学生实习管理办法》的有关要求，保证学生顶岗实习的岗位与其所学专业面向的岗位群基本一致。校企共同制订实训计划、共同对学生进行技术指导、共同对学生实习效果进行考核评价。</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顶岗实习具体安排：在确保学生实习总量的前提下，可根据实际需要，通过校企合作，实行工学交替、多学期、分阶段安排学生实习。</w:t>
      </w:r>
      <w:bookmarkStart w:id="17" w:name="_Toc492371624"/>
    </w:p>
    <w:p>
      <w:pPr>
        <w:adjustRightInd w:val="0"/>
        <w:snapToGrid w:val="0"/>
        <w:spacing w:line="400" w:lineRule="exact"/>
        <w:ind w:firstLine="482" w:firstLineChars="200"/>
        <w:jc w:val="left"/>
        <w:rPr>
          <w:rStyle w:val="34"/>
          <w:color w:val="000000" w:themeColor="text1"/>
          <w:sz w:val="24"/>
        </w:rPr>
      </w:pPr>
      <w:r>
        <w:rPr>
          <w:rStyle w:val="34"/>
          <w:rFonts w:hint="eastAsia" w:ascii="宋体" w:hAnsi="宋体" w:cs="宋体"/>
          <w:color w:val="000000" w:themeColor="text1"/>
          <w:sz w:val="24"/>
        </w:rPr>
        <w:t>八、教学时间安排</w:t>
      </w:r>
      <w:bookmarkEnd w:id="17"/>
      <w:r>
        <w:rPr>
          <w:rStyle w:val="34"/>
          <w:rFonts w:hint="eastAsia" w:ascii="宋体" w:hAnsi="宋体" w:cs="宋体"/>
          <w:color w:val="000000" w:themeColor="text1"/>
          <w:sz w:val="24"/>
        </w:rPr>
        <w:t>及进程表</w:t>
      </w:r>
    </w:p>
    <w:p>
      <w:pPr>
        <w:adjustRightInd w:val="0"/>
        <w:snapToGrid w:val="0"/>
        <w:spacing w:line="400" w:lineRule="exact"/>
        <w:ind w:firstLine="482" w:firstLineChars="200"/>
        <w:jc w:val="left"/>
        <w:rPr>
          <w:rStyle w:val="34"/>
          <w:rFonts w:ascii="宋体" w:hAnsi="宋体" w:cs="宋体"/>
          <w:color w:val="000000" w:themeColor="text1"/>
          <w:sz w:val="24"/>
        </w:rPr>
      </w:pPr>
      <w:bookmarkStart w:id="18" w:name="_Toc492371625"/>
      <w:r>
        <w:rPr>
          <w:rStyle w:val="34"/>
          <w:rFonts w:hint="eastAsia" w:ascii="宋体" w:hAnsi="宋体" w:cs="宋体"/>
          <w:color w:val="000000" w:themeColor="text1"/>
          <w:sz w:val="24"/>
        </w:rPr>
        <w:t>（一）基本要求</w:t>
      </w:r>
      <w:bookmarkEnd w:id="18"/>
    </w:p>
    <w:p>
      <w:pPr>
        <w:adjustRightInd w:val="0"/>
        <w:snapToGrid w:val="0"/>
        <w:spacing w:line="400" w:lineRule="exact"/>
        <w:ind w:firstLine="480" w:firstLineChars="200"/>
        <w:rPr>
          <w:rStyle w:val="28"/>
          <w:rFonts w:ascii="宋体" w:hAnsi="宋体" w:cs="宋体"/>
          <w:b w:val="0"/>
          <w:bCs/>
          <w:color w:val="000000" w:themeColor="text1"/>
          <w:sz w:val="24"/>
        </w:rPr>
      </w:pPr>
      <w:bookmarkStart w:id="19" w:name="_Toc492371626"/>
      <w:r>
        <w:rPr>
          <w:rFonts w:hint="eastAsia" w:ascii="宋体" w:hAnsi="宋体"/>
          <w:color w:val="000000" w:themeColor="text1"/>
          <w:sz w:val="24"/>
        </w:rPr>
        <w:t>每学年为52周，其中教学时间40周，累计假期12周，周学时为35，认识</w:t>
      </w:r>
      <w:r>
        <w:rPr>
          <w:rFonts w:hint="eastAsia" w:ascii="宋体" w:hAnsi="宋体" w:cs="宋体"/>
          <w:color w:val="000000" w:themeColor="text1"/>
          <w:sz w:val="24"/>
        </w:rPr>
        <w:t>实习、跟岗实习和顶岗实习按每周30小时（1小时折合1学时）安排，总学时数约为2800。其中公共基础课</w:t>
      </w:r>
      <w:r>
        <w:rPr>
          <w:rStyle w:val="28"/>
          <w:rFonts w:hint="eastAsia" w:ascii="宋体" w:hAnsi="宋体" w:cs="宋体"/>
          <w:b w:val="0"/>
          <w:bCs/>
          <w:color w:val="000000" w:themeColor="text1"/>
          <w:sz w:val="24"/>
        </w:rPr>
        <w:t>1160</w:t>
      </w:r>
      <w:r>
        <w:rPr>
          <w:rFonts w:hint="eastAsia" w:ascii="宋体" w:hAnsi="宋体" w:cs="宋体"/>
          <w:color w:val="000000" w:themeColor="text1"/>
          <w:sz w:val="24"/>
        </w:rPr>
        <w:t>学时</w:t>
      </w:r>
      <w:r>
        <w:rPr>
          <w:rStyle w:val="28"/>
          <w:rFonts w:hint="eastAsia" w:ascii="宋体" w:hAnsi="宋体" w:cs="宋体"/>
          <w:b w:val="0"/>
          <w:bCs/>
          <w:color w:val="000000" w:themeColor="text1"/>
          <w:sz w:val="24"/>
        </w:rPr>
        <w:t>，约占总学时的41%；专业课1400学时，约占总学时的50%；选修课240学时，占总学时9%。</w:t>
      </w:r>
    </w:p>
    <w:p>
      <w:pPr>
        <w:spacing w:afterLines="50" w:line="400" w:lineRule="exact"/>
        <w:ind w:firstLine="482" w:firstLineChars="200"/>
        <w:rPr>
          <w:rStyle w:val="34"/>
          <w:rFonts w:ascii="宋体" w:hAnsi="宋体" w:cs="宋体"/>
          <w:color w:val="000000" w:themeColor="text1"/>
          <w:sz w:val="24"/>
        </w:rPr>
      </w:pPr>
      <w:r>
        <w:rPr>
          <w:rStyle w:val="34"/>
          <w:rFonts w:hint="eastAsia" w:ascii="宋体" w:hAnsi="宋体" w:cs="宋体"/>
          <w:color w:val="000000" w:themeColor="text1"/>
          <w:sz w:val="24"/>
        </w:rPr>
        <w:t>（二）课程设置与教学时间安排</w:t>
      </w:r>
      <w:bookmarkEnd w:id="19"/>
    </w:p>
    <w:tbl>
      <w:tblPr>
        <w:tblStyle w:val="25"/>
        <w:tblW w:w="9294" w:type="dxa"/>
        <w:jc w:val="center"/>
        <w:tblLayout w:type="autofit"/>
        <w:tblCellMar>
          <w:top w:w="0" w:type="dxa"/>
          <w:left w:w="108" w:type="dxa"/>
          <w:bottom w:w="0" w:type="dxa"/>
          <w:right w:w="108" w:type="dxa"/>
        </w:tblCellMar>
      </w:tblPr>
      <w:tblGrid>
        <w:gridCol w:w="724"/>
        <w:gridCol w:w="709"/>
        <w:gridCol w:w="2693"/>
        <w:gridCol w:w="709"/>
        <w:gridCol w:w="709"/>
        <w:gridCol w:w="708"/>
        <w:gridCol w:w="709"/>
        <w:gridCol w:w="709"/>
        <w:gridCol w:w="709"/>
        <w:gridCol w:w="915"/>
      </w:tblGrid>
      <w:tr>
        <w:tblPrEx>
          <w:tblCellMar>
            <w:top w:w="0" w:type="dxa"/>
            <w:left w:w="108" w:type="dxa"/>
            <w:bottom w:w="0" w:type="dxa"/>
            <w:right w:w="108" w:type="dxa"/>
          </w:tblCellMar>
        </w:tblPrEx>
        <w:trPr>
          <w:trHeight w:val="600" w:hRule="atLeast"/>
          <w:jc w:val="center"/>
        </w:trPr>
        <w:tc>
          <w:tcPr>
            <w:tcW w:w="724" w:type="dxa"/>
            <w:vMerge w:val="restart"/>
            <w:tcBorders>
              <w:top w:val="single" w:color="auto" w:sz="8" w:space="0"/>
              <w:left w:val="single" w:color="auto" w:sz="8" w:space="0"/>
              <w:bottom w:val="single" w:color="000000" w:sz="8" w:space="0"/>
              <w:right w:val="single" w:color="auto" w:sz="8" w:space="0"/>
            </w:tcBorders>
            <w:vAlign w:val="center"/>
          </w:tcPr>
          <w:p>
            <w:pPr>
              <w:spacing w:line="240" w:lineRule="auto"/>
              <w:jc w:val="center"/>
              <w:rPr>
                <w:rFonts w:cs="Tahoma"/>
                <w:bCs/>
                <w:color w:val="000000" w:themeColor="text1"/>
                <w:sz w:val="24"/>
              </w:rPr>
            </w:pPr>
            <w:r>
              <w:rPr>
                <w:rFonts w:hint="eastAsia" w:ascii="宋体" w:hAnsi="宋体" w:cs="Tahoma"/>
                <w:b/>
                <w:bCs/>
                <w:color w:val="000000" w:themeColor="text1"/>
                <w:sz w:val="24"/>
              </w:rPr>
              <w:t>课程类别</w:t>
            </w:r>
          </w:p>
        </w:tc>
        <w:tc>
          <w:tcPr>
            <w:tcW w:w="709" w:type="dxa"/>
            <w:vMerge w:val="restart"/>
            <w:tcBorders>
              <w:top w:val="single" w:color="auto" w:sz="8" w:space="0"/>
              <w:left w:val="single" w:color="auto" w:sz="8" w:space="0"/>
              <w:bottom w:val="single" w:color="000000" w:sz="8" w:space="0"/>
              <w:right w:val="single" w:color="auto" w:sz="8" w:space="0"/>
            </w:tcBorders>
            <w:vAlign w:val="center"/>
          </w:tcPr>
          <w:p>
            <w:pPr>
              <w:spacing w:line="240" w:lineRule="auto"/>
              <w:jc w:val="center"/>
              <w:rPr>
                <w:rFonts w:ascii="宋体" w:hAnsi="宋体" w:cs="Tahoma"/>
                <w:b/>
                <w:bCs/>
                <w:color w:val="000000" w:themeColor="text1"/>
                <w:sz w:val="24"/>
              </w:rPr>
            </w:pPr>
            <w:r>
              <w:rPr>
                <w:rFonts w:hint="eastAsia" w:ascii="宋体" w:hAnsi="宋体" w:cs="Tahoma"/>
                <w:b/>
                <w:bCs/>
                <w:color w:val="000000" w:themeColor="text1"/>
                <w:sz w:val="24"/>
              </w:rPr>
              <w:t>序号</w:t>
            </w:r>
          </w:p>
        </w:tc>
        <w:tc>
          <w:tcPr>
            <w:tcW w:w="2693" w:type="dxa"/>
            <w:vMerge w:val="restart"/>
            <w:tcBorders>
              <w:top w:val="single" w:color="auto" w:sz="8" w:space="0"/>
              <w:left w:val="single" w:color="auto" w:sz="8" w:space="0"/>
              <w:bottom w:val="single" w:color="000000" w:sz="8" w:space="0"/>
              <w:right w:val="single" w:color="auto" w:sz="8" w:space="0"/>
            </w:tcBorders>
            <w:vAlign w:val="center"/>
          </w:tcPr>
          <w:p>
            <w:pPr>
              <w:spacing w:line="240" w:lineRule="auto"/>
              <w:jc w:val="center"/>
              <w:rPr>
                <w:rFonts w:ascii="宋体" w:hAnsi="宋体" w:cs="Tahoma"/>
                <w:b/>
                <w:bCs/>
                <w:color w:val="000000" w:themeColor="text1"/>
                <w:sz w:val="24"/>
              </w:rPr>
            </w:pPr>
            <w:r>
              <w:rPr>
                <w:rFonts w:hint="eastAsia" w:ascii="宋体" w:hAnsi="宋体" w:cs="Tahoma"/>
                <w:b/>
                <w:bCs/>
                <w:color w:val="000000" w:themeColor="text1"/>
                <w:sz w:val="24"/>
              </w:rPr>
              <w:t>课程</w:t>
            </w:r>
          </w:p>
        </w:tc>
        <w:tc>
          <w:tcPr>
            <w:tcW w:w="4253" w:type="dxa"/>
            <w:gridSpan w:val="6"/>
            <w:tcBorders>
              <w:top w:val="single" w:color="auto" w:sz="8" w:space="0"/>
              <w:left w:val="nil"/>
              <w:bottom w:val="single" w:color="auto" w:sz="8" w:space="0"/>
              <w:right w:val="single" w:color="000000" w:sz="8" w:space="0"/>
            </w:tcBorders>
            <w:vAlign w:val="center"/>
          </w:tcPr>
          <w:p>
            <w:pPr>
              <w:spacing w:line="240" w:lineRule="auto"/>
              <w:jc w:val="center"/>
              <w:rPr>
                <w:rFonts w:ascii="宋体" w:hAnsi="宋体" w:cs="Tahoma"/>
                <w:b/>
                <w:bCs/>
                <w:color w:val="000000" w:themeColor="text1"/>
                <w:sz w:val="24"/>
              </w:rPr>
            </w:pPr>
            <w:r>
              <w:rPr>
                <w:rFonts w:hint="eastAsia" w:ascii="宋体" w:hAnsi="宋体" w:cs="Tahoma"/>
                <w:b/>
                <w:bCs/>
                <w:color w:val="000000" w:themeColor="text1"/>
                <w:sz w:val="24"/>
              </w:rPr>
              <w:t>学年及学期周学时分配</w:t>
            </w:r>
          </w:p>
        </w:tc>
        <w:tc>
          <w:tcPr>
            <w:tcW w:w="915" w:type="dxa"/>
            <w:vMerge w:val="restart"/>
            <w:tcBorders>
              <w:top w:val="single" w:color="auto" w:sz="8" w:space="0"/>
              <w:left w:val="single" w:color="auto" w:sz="8" w:space="0"/>
              <w:bottom w:val="single" w:color="000000" w:sz="8" w:space="0"/>
              <w:right w:val="single" w:color="auto" w:sz="8" w:space="0"/>
            </w:tcBorders>
            <w:vAlign w:val="center"/>
          </w:tcPr>
          <w:p>
            <w:pPr>
              <w:spacing w:line="240" w:lineRule="auto"/>
              <w:jc w:val="center"/>
              <w:rPr>
                <w:rFonts w:ascii="宋体" w:hAnsi="宋体" w:cs="Tahoma"/>
                <w:b/>
                <w:bCs/>
                <w:color w:val="000000" w:themeColor="text1"/>
                <w:sz w:val="24"/>
              </w:rPr>
            </w:pPr>
            <w:r>
              <w:rPr>
                <w:rFonts w:hint="eastAsia" w:ascii="宋体" w:hAnsi="宋体" w:cs="Tahoma"/>
                <w:b/>
                <w:bCs/>
                <w:color w:val="000000" w:themeColor="text1"/>
                <w:sz w:val="24"/>
              </w:rPr>
              <w:t>总学</w:t>
            </w:r>
          </w:p>
          <w:p>
            <w:pPr>
              <w:spacing w:line="240" w:lineRule="auto"/>
              <w:jc w:val="center"/>
              <w:rPr>
                <w:rFonts w:ascii="宋体" w:hAnsi="宋体" w:cs="Tahoma"/>
                <w:b/>
                <w:bCs/>
                <w:color w:val="000000" w:themeColor="text1"/>
                <w:sz w:val="24"/>
              </w:rPr>
            </w:pPr>
            <w:r>
              <w:rPr>
                <w:rFonts w:hint="eastAsia" w:ascii="宋体" w:hAnsi="宋体" w:cs="Tahoma"/>
                <w:b/>
                <w:bCs/>
                <w:color w:val="000000" w:themeColor="text1"/>
                <w:sz w:val="24"/>
              </w:rPr>
              <w:t>时数</w:t>
            </w:r>
          </w:p>
        </w:tc>
      </w:tr>
      <w:tr>
        <w:tblPrEx>
          <w:tblCellMar>
            <w:top w:w="0" w:type="dxa"/>
            <w:left w:w="108" w:type="dxa"/>
            <w:bottom w:w="0" w:type="dxa"/>
            <w:right w:w="108" w:type="dxa"/>
          </w:tblCellMar>
        </w:tblPrEx>
        <w:trPr>
          <w:trHeight w:val="538"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cs="Tahoma"/>
                <w:bCs/>
                <w:color w:val="000000" w:themeColor="text1"/>
                <w:szCs w:val="21"/>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c>
          <w:tcPr>
            <w:tcW w:w="1418" w:type="dxa"/>
            <w:gridSpan w:val="2"/>
            <w:tcBorders>
              <w:top w:val="single" w:color="auto" w:sz="8" w:space="0"/>
              <w:left w:val="nil"/>
              <w:bottom w:val="single" w:color="auto" w:sz="8" w:space="0"/>
              <w:right w:val="single" w:color="000000"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第一学年</w:t>
            </w:r>
          </w:p>
        </w:tc>
        <w:tc>
          <w:tcPr>
            <w:tcW w:w="1417" w:type="dxa"/>
            <w:gridSpan w:val="2"/>
            <w:tcBorders>
              <w:top w:val="single" w:color="auto" w:sz="8" w:space="0"/>
              <w:left w:val="nil"/>
              <w:bottom w:val="single" w:color="auto" w:sz="8" w:space="0"/>
              <w:right w:val="single" w:color="000000"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第二学年</w:t>
            </w:r>
          </w:p>
        </w:tc>
        <w:tc>
          <w:tcPr>
            <w:tcW w:w="1418" w:type="dxa"/>
            <w:gridSpan w:val="2"/>
            <w:tcBorders>
              <w:top w:val="single" w:color="auto" w:sz="8" w:space="0"/>
              <w:left w:val="nil"/>
              <w:bottom w:val="single" w:color="auto" w:sz="8" w:space="0"/>
              <w:right w:val="single" w:color="000000"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第三学年</w:t>
            </w:r>
          </w:p>
        </w:tc>
        <w:tc>
          <w:tcPr>
            <w:tcW w:w="91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r>
      <w:tr>
        <w:trPr>
          <w:trHeight w:val="401"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cs="Tahoma"/>
                <w:bCs/>
                <w:color w:val="000000" w:themeColor="text1"/>
                <w:szCs w:val="21"/>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一</w:t>
            </w:r>
          </w:p>
        </w:tc>
        <w:tc>
          <w:tcPr>
            <w:tcW w:w="709"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二</w:t>
            </w:r>
          </w:p>
        </w:tc>
        <w:tc>
          <w:tcPr>
            <w:tcW w:w="708"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三</w:t>
            </w:r>
          </w:p>
        </w:tc>
        <w:tc>
          <w:tcPr>
            <w:tcW w:w="709"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四</w:t>
            </w:r>
          </w:p>
        </w:tc>
        <w:tc>
          <w:tcPr>
            <w:tcW w:w="709"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五</w:t>
            </w:r>
          </w:p>
        </w:tc>
        <w:tc>
          <w:tcPr>
            <w:tcW w:w="709" w:type="dxa"/>
            <w:tcBorders>
              <w:top w:val="nil"/>
              <w:left w:val="nil"/>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六</w:t>
            </w:r>
          </w:p>
        </w:tc>
        <w:tc>
          <w:tcPr>
            <w:tcW w:w="91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Tahoma"/>
                <w:b/>
                <w:bCs/>
                <w:color w:val="000000" w:themeColor="text1"/>
                <w:szCs w:val="21"/>
              </w:rPr>
            </w:pPr>
          </w:p>
        </w:tc>
      </w:tr>
      <w:tr>
        <w:tblPrEx>
          <w:tblCellMar>
            <w:top w:w="0" w:type="dxa"/>
            <w:left w:w="108" w:type="dxa"/>
            <w:bottom w:w="0" w:type="dxa"/>
            <w:right w:w="108" w:type="dxa"/>
          </w:tblCellMar>
        </w:tblPrEx>
        <w:trPr>
          <w:trHeight w:val="397" w:hRule="exact"/>
          <w:jc w:val="center"/>
        </w:trPr>
        <w:tc>
          <w:tcPr>
            <w:tcW w:w="724" w:type="dxa"/>
            <w:vMerge w:val="restart"/>
            <w:tcBorders>
              <w:top w:val="nil"/>
              <w:left w:val="single" w:color="auto" w:sz="8" w:space="0"/>
              <w:bottom w:val="single" w:color="auto" w:sz="8" w:space="0"/>
              <w:right w:val="single" w:color="auto" w:sz="8"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公</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共</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基</w:t>
            </w:r>
          </w:p>
          <w:p>
            <w:pPr>
              <w:spacing w:line="240" w:lineRule="auto"/>
              <w:jc w:val="center"/>
              <w:rPr>
                <w:rFonts w:ascii="宋体" w:hAnsi="宋体" w:cs="Tahoma"/>
                <w:b/>
                <w:bCs/>
                <w:color w:val="000000" w:themeColor="text1"/>
                <w:szCs w:val="21"/>
              </w:rPr>
            </w:pPr>
            <w:r>
              <w:rPr>
                <w:rFonts w:hint="eastAsia" w:ascii="宋体" w:hAnsi="宋体" w:cs="Tahoma"/>
                <w:b/>
                <w:bCs/>
                <w:color w:val="000000" w:themeColor="text1"/>
                <w:sz w:val="24"/>
                <w:szCs w:val="24"/>
              </w:rPr>
              <w:t>础</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课</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思想政治</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160</w:t>
            </w:r>
          </w:p>
        </w:tc>
      </w:tr>
      <w:tr>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2</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语文</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200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3</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数学</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200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4</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英语</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200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5</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体育与健康</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160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6</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信息技术</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80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7</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艺术</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80</w:t>
            </w:r>
          </w:p>
        </w:tc>
      </w:tr>
      <w:tr>
        <w:tblPrEx>
          <w:tblCellMar>
            <w:top w:w="0" w:type="dxa"/>
            <w:left w:w="108" w:type="dxa"/>
            <w:bottom w:w="0" w:type="dxa"/>
            <w:right w:w="108" w:type="dxa"/>
          </w:tblCellMar>
        </w:tblPrEx>
        <w:trPr>
          <w:trHeight w:val="397" w:hRule="exac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ascii="宋体" w:hAnsi="宋体" w:cs="Tahoma"/>
                <w:color w:val="000000" w:themeColor="text1"/>
                <w:szCs w:val="21"/>
              </w:rPr>
              <w:t>8</w:t>
            </w:r>
          </w:p>
        </w:tc>
        <w:tc>
          <w:tcPr>
            <w:tcW w:w="2693"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历史</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Cs/>
                <w:color w:val="000000" w:themeColor="text1"/>
                <w:szCs w:val="21"/>
              </w:rPr>
            </w:pPr>
            <w:r>
              <w:rPr>
                <w:rFonts w:hint="eastAsia" w:ascii="宋体" w:hAnsi="宋体" w:cs="Tahoma"/>
                <w:bCs/>
                <w:color w:val="000000" w:themeColor="text1"/>
                <w:szCs w:val="21"/>
              </w:rPr>
              <w:t>80</w:t>
            </w:r>
          </w:p>
        </w:tc>
      </w:tr>
      <w:tr>
        <w:tblPrEx>
          <w:tblCellMar>
            <w:top w:w="0" w:type="dxa"/>
            <w:left w:w="108" w:type="dxa"/>
            <w:bottom w:w="0" w:type="dxa"/>
            <w:right w:w="108" w:type="dxa"/>
          </w:tblCellMar>
        </w:tblPrEx>
        <w:trPr>
          <w:trHeight w:val="655" w:hRule="exact"/>
          <w:jc w:val="center"/>
        </w:trPr>
        <w:tc>
          <w:tcPr>
            <w:tcW w:w="0" w:type="auto"/>
            <w:vMerge w:val="continue"/>
            <w:tcBorders>
              <w:top w:val="nil"/>
              <w:left w:val="single" w:color="auto" w:sz="8" w:space="0"/>
              <w:bottom w:val="single" w:color="auto" w:sz="4" w:space="0"/>
              <w:right w:val="single" w:color="auto" w:sz="8" w:space="0"/>
            </w:tcBorders>
            <w:vAlign w:val="center"/>
          </w:tcPr>
          <w:p>
            <w:pPr>
              <w:widowControl/>
              <w:jc w:val="center"/>
              <w:rPr>
                <w:rFonts w:ascii="宋体" w:hAnsi="宋体" w:cs="Tahoma"/>
                <w:b/>
                <w:bCs/>
                <w:color w:val="000000" w:themeColor="text1"/>
                <w:szCs w:val="21"/>
              </w:rPr>
            </w:pPr>
          </w:p>
        </w:tc>
        <w:tc>
          <w:tcPr>
            <w:tcW w:w="3402" w:type="dxa"/>
            <w:gridSpan w:val="2"/>
            <w:tcBorders>
              <w:top w:val="single" w:color="auto" w:sz="8" w:space="0"/>
              <w:left w:val="nil"/>
              <w:bottom w:val="single" w:color="auto" w:sz="8" w:space="0"/>
              <w:right w:val="single" w:color="000000"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合计</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17</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17</w:t>
            </w:r>
          </w:p>
        </w:tc>
        <w:tc>
          <w:tcPr>
            <w:tcW w:w="708"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12</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12</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1160</w:t>
            </w:r>
          </w:p>
        </w:tc>
      </w:tr>
      <w:tr>
        <w:tblPrEx>
          <w:tblCellMar>
            <w:top w:w="0" w:type="dxa"/>
            <w:left w:w="108" w:type="dxa"/>
            <w:bottom w:w="0" w:type="dxa"/>
            <w:right w:w="108" w:type="dxa"/>
          </w:tblCellMar>
        </w:tblPrEx>
        <w:trPr>
          <w:trHeight w:val="397" w:hRule="exac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专</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业</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核</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心</w:t>
            </w:r>
          </w:p>
          <w:p>
            <w:pPr>
              <w:spacing w:line="240" w:lineRule="auto"/>
              <w:jc w:val="center"/>
              <w:rPr>
                <w:rFonts w:ascii="宋体" w:hAnsi="宋体" w:cs="Tahoma"/>
                <w:b/>
                <w:bCs/>
                <w:color w:val="000000" w:themeColor="text1"/>
                <w:szCs w:val="21"/>
              </w:rPr>
            </w:pPr>
            <w:r>
              <w:rPr>
                <w:rFonts w:hint="eastAsia" w:ascii="宋体" w:hAnsi="宋体" w:cs="Tahoma"/>
                <w:b/>
                <w:bCs/>
                <w:color w:val="000000" w:themeColor="text1"/>
                <w:sz w:val="24"/>
                <w:szCs w:val="24"/>
              </w:rPr>
              <w:t>课</w:t>
            </w:r>
          </w:p>
        </w:tc>
        <w:tc>
          <w:tcPr>
            <w:tcW w:w="709" w:type="dxa"/>
            <w:tcBorders>
              <w:top w:val="single" w:color="auto" w:sz="8" w:space="0"/>
              <w:left w:val="single" w:color="auto" w:sz="4" w:space="0"/>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w:t>
            </w:r>
          </w:p>
        </w:tc>
        <w:tc>
          <w:tcPr>
            <w:tcW w:w="2693"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旅游概论</w:t>
            </w:r>
          </w:p>
        </w:tc>
        <w:tc>
          <w:tcPr>
            <w:tcW w:w="709"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p>
        </w:tc>
        <w:tc>
          <w:tcPr>
            <w:tcW w:w="708" w:type="dxa"/>
            <w:tcBorders>
              <w:top w:val="single" w:color="auto" w:sz="8" w:space="0"/>
              <w:left w:val="nil"/>
              <w:bottom w:val="nil"/>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nil"/>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nil"/>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nil"/>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80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2693"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旅游心理</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8"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80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2693"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导游基础知识</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8"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160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2693"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餐饮服务与管理</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8"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160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5</w:t>
            </w:r>
          </w:p>
        </w:tc>
        <w:tc>
          <w:tcPr>
            <w:tcW w:w="2693"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客房服务与管理</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8"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160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6</w:t>
            </w:r>
          </w:p>
        </w:tc>
        <w:tc>
          <w:tcPr>
            <w:tcW w:w="2693"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旅游地理</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4"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160</w:t>
            </w:r>
          </w:p>
        </w:tc>
      </w:tr>
      <w:tr>
        <w:tblPrEx>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bCs/>
                <w:color w:val="000000" w:themeColor="text1"/>
                <w:szCs w:val="21"/>
              </w:rPr>
            </w:pPr>
          </w:p>
        </w:tc>
        <w:tc>
          <w:tcPr>
            <w:tcW w:w="709" w:type="dxa"/>
            <w:tcBorders>
              <w:top w:val="nil"/>
              <w:left w:val="single" w:color="auto" w:sz="4" w:space="0"/>
              <w:bottom w:val="single" w:color="auto" w:sz="4"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7</w:t>
            </w:r>
          </w:p>
        </w:tc>
        <w:tc>
          <w:tcPr>
            <w:tcW w:w="2693"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前厅服务与管理</w:t>
            </w:r>
          </w:p>
        </w:tc>
        <w:tc>
          <w:tcPr>
            <w:tcW w:w="709"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6</w:t>
            </w:r>
          </w:p>
        </w:tc>
        <w:tc>
          <w:tcPr>
            <w:tcW w:w="709"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4" w:space="0"/>
              <w:right w:val="single" w:color="auto" w:sz="4" w:space="0"/>
            </w:tcBorders>
            <w:vAlign w:val="center"/>
          </w:tcPr>
          <w:p>
            <w:pPr>
              <w:widowControl/>
              <w:jc w:val="center"/>
              <w:rPr>
                <w:color w:val="000000" w:themeColor="text1"/>
                <w:kern w:val="0"/>
                <w:sz w:val="20"/>
                <w:szCs w:val="20"/>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bl>
    <w:p>
      <w:pPr>
        <w:rPr>
          <w:color w:val="000000" w:themeColor="text1"/>
        </w:rPr>
      </w:pPr>
      <w:r>
        <w:rPr>
          <w:color w:val="000000" w:themeColor="text1"/>
        </w:rPr>
        <w:br w:type="page"/>
      </w:r>
    </w:p>
    <w:tbl>
      <w:tblPr>
        <w:tblStyle w:val="25"/>
        <w:tblW w:w="9294" w:type="dxa"/>
        <w:jc w:val="center"/>
        <w:tblLayout w:type="autofit"/>
        <w:tblCellMar>
          <w:top w:w="0" w:type="dxa"/>
          <w:left w:w="108" w:type="dxa"/>
          <w:bottom w:w="0" w:type="dxa"/>
          <w:right w:w="108" w:type="dxa"/>
        </w:tblCellMar>
      </w:tblPr>
      <w:tblGrid>
        <w:gridCol w:w="719"/>
        <w:gridCol w:w="704"/>
        <w:gridCol w:w="2684"/>
        <w:gridCol w:w="709"/>
        <w:gridCol w:w="709"/>
        <w:gridCol w:w="708"/>
        <w:gridCol w:w="709"/>
        <w:gridCol w:w="709"/>
        <w:gridCol w:w="728"/>
        <w:gridCol w:w="915"/>
      </w:tblGrid>
      <w:tr>
        <w:tblPrEx>
          <w:tblCellMar>
            <w:top w:w="0" w:type="dxa"/>
            <w:left w:w="108" w:type="dxa"/>
            <w:bottom w:w="0" w:type="dxa"/>
            <w:right w:w="108" w:type="dxa"/>
          </w:tblCellMar>
        </w:tblPrEx>
        <w:trPr>
          <w:trHeight w:val="551" w:hRule="atLeast"/>
          <w:jc w:val="center"/>
        </w:trPr>
        <w:tc>
          <w:tcPr>
            <w:tcW w:w="720" w:type="dxa"/>
            <w:vMerge w:val="restart"/>
            <w:tcBorders>
              <w:top w:val="single" w:color="auto" w:sz="4" w:space="0"/>
              <w:left w:val="single" w:color="auto" w:sz="8" w:space="0"/>
              <w:bottom w:val="nil"/>
              <w:right w:val="single" w:color="auto" w:sz="4" w:space="0"/>
            </w:tcBorders>
            <w:vAlign w:val="center"/>
          </w:tcPr>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专</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业</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技</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能</w:t>
            </w:r>
          </w:p>
          <w:p>
            <w:pPr>
              <w:spacing w:line="240" w:lineRule="auto"/>
              <w:jc w:val="center"/>
              <w:rPr>
                <w:rFonts w:ascii="宋体" w:hAnsi="宋体" w:cs="Tahoma"/>
                <w:b/>
                <w:bCs/>
                <w:color w:val="000000" w:themeColor="text1"/>
                <w:sz w:val="24"/>
                <w:szCs w:val="24"/>
              </w:rPr>
            </w:pPr>
            <w:r>
              <w:rPr>
                <w:rFonts w:hint="eastAsia" w:ascii="宋体" w:hAnsi="宋体" w:cs="Tahoma"/>
                <w:b/>
                <w:bCs/>
                <w:color w:val="000000" w:themeColor="text1"/>
                <w:sz w:val="24"/>
                <w:szCs w:val="24"/>
              </w:rPr>
              <w:t>课</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8</w:t>
            </w:r>
          </w:p>
        </w:tc>
        <w:tc>
          <w:tcPr>
            <w:tcW w:w="26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综合实训1</w:t>
            </w:r>
          </w:p>
          <w:p>
            <w:pPr>
              <w:jc w:val="center"/>
              <w:rPr>
                <w:rFonts w:ascii="宋体" w:hAnsi="宋体" w:cs="Tahoma"/>
                <w:color w:val="000000" w:themeColor="text1"/>
                <w:szCs w:val="21"/>
              </w:rPr>
            </w:pPr>
            <w:r>
              <w:rPr>
                <w:rFonts w:hint="eastAsia" w:ascii="宋体" w:hAnsi="宋体" w:cs="Tahoma"/>
                <w:color w:val="000000" w:themeColor="text1"/>
                <w:szCs w:val="21"/>
              </w:rPr>
              <w:t>（礼貌礼节、形体训练）</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20"/>
                <w:szCs w:val="20"/>
              </w:rPr>
            </w:pPr>
          </w:p>
        </w:tc>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 w:val="20"/>
                <w:szCs w:val="20"/>
              </w:rPr>
            </w:pPr>
          </w:p>
        </w:tc>
        <w:tc>
          <w:tcPr>
            <w:tcW w:w="915"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r>
        <w:tblPrEx>
          <w:tblCellMar>
            <w:top w:w="0" w:type="dxa"/>
            <w:left w:w="108" w:type="dxa"/>
            <w:bottom w:w="0" w:type="dxa"/>
            <w:right w:w="108" w:type="dxa"/>
          </w:tblCellMar>
        </w:tblPrEx>
        <w:trPr>
          <w:trHeight w:val="549" w:hRule="atLeast"/>
          <w:jc w:val="center"/>
        </w:trPr>
        <w:tc>
          <w:tcPr>
            <w:tcW w:w="0" w:type="auto"/>
            <w:vMerge w:val="continue"/>
            <w:tcBorders>
              <w:top w:val="single" w:color="auto" w:sz="8" w:space="0"/>
              <w:left w:val="single" w:color="auto" w:sz="8" w:space="0"/>
              <w:bottom w:val="nil"/>
              <w:right w:val="single" w:color="auto" w:sz="8" w:space="0"/>
            </w:tcBorders>
            <w:vAlign w:val="center"/>
          </w:tcPr>
          <w:p>
            <w:pPr>
              <w:widowControl/>
              <w:jc w:val="center"/>
              <w:rPr>
                <w:rFonts w:ascii="宋体" w:hAnsi="宋体" w:cs="Tahoma"/>
                <w:b/>
                <w:bCs/>
                <w:color w:val="000000" w:themeColor="text1"/>
                <w:szCs w:val="21"/>
              </w:rPr>
            </w:pPr>
          </w:p>
        </w:tc>
        <w:tc>
          <w:tcPr>
            <w:tcW w:w="705"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9</w:t>
            </w:r>
          </w:p>
        </w:tc>
        <w:tc>
          <w:tcPr>
            <w:tcW w:w="2686"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综合实训2</w:t>
            </w:r>
          </w:p>
          <w:p>
            <w:pPr>
              <w:jc w:val="center"/>
              <w:rPr>
                <w:rFonts w:ascii="宋体" w:hAnsi="宋体" w:cs="Tahoma"/>
                <w:color w:val="000000" w:themeColor="text1"/>
                <w:szCs w:val="21"/>
              </w:rPr>
            </w:pPr>
            <w:r>
              <w:rPr>
                <w:rFonts w:hint="eastAsia" w:ascii="宋体" w:hAnsi="宋体" w:cs="Tahoma"/>
                <w:color w:val="000000" w:themeColor="text1"/>
                <w:szCs w:val="21"/>
              </w:rPr>
              <w:t>（中华茶艺、国学经典）</w:t>
            </w:r>
          </w:p>
        </w:tc>
        <w:tc>
          <w:tcPr>
            <w:tcW w:w="709"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single" w:color="auto" w:sz="4"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709"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24" w:type="dxa"/>
            <w:tcBorders>
              <w:top w:val="single" w:color="auto" w:sz="4"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r>
        <w:tblPrEx>
          <w:tblCellMar>
            <w:top w:w="0" w:type="dxa"/>
            <w:left w:w="108" w:type="dxa"/>
            <w:bottom w:w="0" w:type="dxa"/>
            <w:right w:w="108" w:type="dxa"/>
          </w:tblCellMar>
        </w:tblPrEx>
        <w:trPr>
          <w:trHeight w:val="543" w:hRule="atLeast"/>
          <w:jc w:val="center"/>
        </w:trPr>
        <w:tc>
          <w:tcPr>
            <w:tcW w:w="0" w:type="auto"/>
            <w:vMerge w:val="continue"/>
            <w:tcBorders>
              <w:top w:val="single" w:color="auto" w:sz="8" w:space="0"/>
              <w:left w:val="single" w:color="auto" w:sz="8" w:space="0"/>
              <w:bottom w:val="nil"/>
              <w:right w:val="single" w:color="auto" w:sz="8" w:space="0"/>
            </w:tcBorders>
            <w:vAlign w:val="center"/>
          </w:tcPr>
          <w:p>
            <w:pPr>
              <w:widowControl/>
              <w:jc w:val="center"/>
              <w:rPr>
                <w:rFonts w:ascii="宋体" w:hAnsi="宋体" w:cs="Tahoma"/>
                <w:b/>
                <w:bCs/>
                <w:color w:val="000000" w:themeColor="text1"/>
                <w:szCs w:val="21"/>
              </w:rPr>
            </w:pPr>
          </w:p>
        </w:tc>
        <w:tc>
          <w:tcPr>
            <w:tcW w:w="70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10</w:t>
            </w:r>
          </w:p>
        </w:tc>
        <w:tc>
          <w:tcPr>
            <w:tcW w:w="2686"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综合实训3</w:t>
            </w:r>
          </w:p>
          <w:p>
            <w:pPr>
              <w:jc w:val="center"/>
              <w:rPr>
                <w:rFonts w:ascii="宋体" w:hAnsi="宋体" w:cs="Tahoma"/>
                <w:color w:val="000000" w:themeColor="text1"/>
                <w:szCs w:val="21"/>
              </w:rPr>
            </w:pPr>
            <w:r>
              <w:rPr>
                <w:rFonts w:hint="eastAsia" w:ascii="宋体" w:hAnsi="宋体" w:cs="Tahoma"/>
                <w:color w:val="000000" w:themeColor="text1"/>
                <w:szCs w:val="21"/>
              </w:rPr>
              <w:t>（导游实务、普通话）</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6</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24"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r>
        <w:tblPrEx>
          <w:tblCellMar>
            <w:top w:w="0" w:type="dxa"/>
            <w:left w:w="108" w:type="dxa"/>
            <w:bottom w:w="0" w:type="dxa"/>
            <w:right w:w="108" w:type="dxa"/>
          </w:tblCellMar>
        </w:tblPrEx>
        <w:trPr>
          <w:trHeight w:val="564" w:hRule="atLeast"/>
          <w:jc w:val="center"/>
        </w:trPr>
        <w:tc>
          <w:tcPr>
            <w:tcW w:w="0" w:type="auto"/>
            <w:vMerge w:val="continue"/>
            <w:tcBorders>
              <w:top w:val="single" w:color="auto" w:sz="8" w:space="0"/>
              <w:left w:val="single" w:color="auto" w:sz="8" w:space="0"/>
              <w:bottom w:val="nil"/>
              <w:right w:val="single" w:color="auto" w:sz="8" w:space="0"/>
            </w:tcBorders>
            <w:vAlign w:val="center"/>
          </w:tcPr>
          <w:p>
            <w:pPr>
              <w:widowControl/>
              <w:jc w:val="center"/>
              <w:rPr>
                <w:rFonts w:ascii="宋体" w:hAnsi="宋体" w:cs="Tahoma"/>
                <w:b/>
                <w:bCs/>
                <w:color w:val="000000" w:themeColor="text1"/>
                <w:szCs w:val="21"/>
              </w:rPr>
            </w:pPr>
          </w:p>
        </w:tc>
        <w:tc>
          <w:tcPr>
            <w:tcW w:w="70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11</w:t>
            </w:r>
          </w:p>
        </w:tc>
        <w:tc>
          <w:tcPr>
            <w:tcW w:w="2686"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综合实训4</w:t>
            </w:r>
          </w:p>
          <w:p>
            <w:pPr>
              <w:jc w:val="center"/>
              <w:rPr>
                <w:rFonts w:ascii="宋体" w:hAnsi="宋体" w:cs="Tahoma"/>
                <w:color w:val="000000" w:themeColor="text1"/>
                <w:szCs w:val="21"/>
              </w:rPr>
            </w:pPr>
            <w:r>
              <w:rPr>
                <w:rFonts w:hint="eastAsia" w:ascii="宋体" w:hAnsi="宋体" w:cs="Tahoma"/>
                <w:color w:val="000000" w:themeColor="text1"/>
                <w:szCs w:val="21"/>
              </w:rPr>
              <w:t>（酒水知识、插花艺术）</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6</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24"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nil"/>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r>
        <w:tblPrEx>
          <w:tblCellMar>
            <w:top w:w="0" w:type="dxa"/>
            <w:left w:w="108" w:type="dxa"/>
            <w:bottom w:w="0" w:type="dxa"/>
            <w:right w:w="108" w:type="dxa"/>
          </w:tblCellMar>
        </w:tblPrEx>
        <w:trPr>
          <w:trHeight w:val="545" w:hRule="atLeast"/>
          <w:jc w:val="center"/>
        </w:trPr>
        <w:tc>
          <w:tcPr>
            <w:tcW w:w="4111" w:type="dxa"/>
            <w:gridSpan w:val="3"/>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专业课合计</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15</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15</w:t>
            </w:r>
          </w:p>
        </w:tc>
        <w:tc>
          <w:tcPr>
            <w:tcW w:w="708"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21</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19</w:t>
            </w:r>
          </w:p>
        </w:tc>
        <w:tc>
          <w:tcPr>
            <w:tcW w:w="709"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p>
        </w:tc>
        <w:tc>
          <w:tcPr>
            <w:tcW w:w="724" w:type="dxa"/>
            <w:tcBorders>
              <w:top w:val="single" w:color="auto" w:sz="8" w:space="0"/>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single" w:color="auto" w:sz="8" w:space="0"/>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1400</w:t>
            </w:r>
          </w:p>
        </w:tc>
      </w:tr>
      <w:tr>
        <w:tblPrEx>
          <w:tblCellMar>
            <w:top w:w="0" w:type="dxa"/>
            <w:left w:w="108" w:type="dxa"/>
            <w:bottom w:w="0" w:type="dxa"/>
            <w:right w:w="108" w:type="dxa"/>
          </w:tblCellMar>
        </w:tblPrEx>
        <w:trPr>
          <w:trHeight w:val="340" w:hRule="atLeast"/>
          <w:jc w:val="center"/>
        </w:trPr>
        <w:tc>
          <w:tcPr>
            <w:tcW w:w="4111" w:type="dxa"/>
            <w:gridSpan w:val="3"/>
            <w:tcBorders>
              <w:top w:val="nil"/>
              <w:left w:val="single" w:color="auto" w:sz="8" w:space="0"/>
              <w:bottom w:val="single" w:color="auto" w:sz="4" w:space="0"/>
              <w:right w:val="single" w:color="000000"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认识实习、跟岗实习</w:t>
            </w: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20周</w:t>
            </w:r>
          </w:p>
        </w:tc>
        <w:tc>
          <w:tcPr>
            <w:tcW w:w="724"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p>
        </w:tc>
        <w:tc>
          <w:tcPr>
            <w:tcW w:w="915"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r>
      <w:tr>
        <w:tblPrEx>
          <w:tblCellMar>
            <w:top w:w="0" w:type="dxa"/>
            <w:left w:w="108" w:type="dxa"/>
            <w:bottom w:w="0" w:type="dxa"/>
            <w:right w:w="108" w:type="dxa"/>
          </w:tblCellMar>
        </w:tblPrEx>
        <w:trPr>
          <w:trHeight w:val="500" w:hRule="atLeast"/>
          <w:jc w:val="center"/>
        </w:trPr>
        <w:tc>
          <w:tcPr>
            <w:tcW w:w="4111" w:type="dxa"/>
            <w:gridSpan w:val="3"/>
            <w:tcBorders>
              <w:top w:val="single" w:color="auto" w:sz="4" w:space="0"/>
              <w:left w:val="single" w:color="auto" w:sz="8" w:space="0"/>
              <w:bottom w:val="single" w:color="auto" w:sz="4" w:space="0"/>
              <w:right w:val="single" w:color="000000"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顶岗实习</w:t>
            </w:r>
          </w:p>
        </w:tc>
        <w:tc>
          <w:tcPr>
            <w:tcW w:w="709"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p>
        </w:tc>
        <w:tc>
          <w:tcPr>
            <w:tcW w:w="709"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08"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09" w:type="dxa"/>
            <w:tcBorders>
              <w:top w:val="nil"/>
              <w:left w:val="nil"/>
              <w:bottom w:val="single" w:color="auto" w:sz="4" w:space="0"/>
              <w:right w:val="single" w:color="auto" w:sz="8" w:space="0"/>
            </w:tcBorders>
            <w:vAlign w:val="center"/>
          </w:tcPr>
          <w:p>
            <w:pPr>
              <w:widowControl/>
              <w:jc w:val="center"/>
              <w:rPr>
                <w:color w:val="000000" w:themeColor="text1"/>
                <w:kern w:val="0"/>
                <w:sz w:val="20"/>
                <w:szCs w:val="20"/>
              </w:rPr>
            </w:pPr>
          </w:p>
        </w:tc>
        <w:tc>
          <w:tcPr>
            <w:tcW w:w="724"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20周</w:t>
            </w:r>
          </w:p>
        </w:tc>
        <w:tc>
          <w:tcPr>
            <w:tcW w:w="915" w:type="dxa"/>
            <w:tcBorders>
              <w:top w:val="nil"/>
              <w:left w:val="nil"/>
              <w:bottom w:val="single" w:color="auto" w:sz="4" w:space="0"/>
              <w:right w:val="single" w:color="auto" w:sz="8" w:space="0"/>
            </w:tcBorders>
            <w:vAlign w:val="center"/>
          </w:tcPr>
          <w:p>
            <w:pPr>
              <w:jc w:val="center"/>
              <w:rPr>
                <w:rFonts w:ascii="宋体" w:hAnsi="宋体" w:cs="Tahoma"/>
                <w:color w:val="000000" w:themeColor="text1"/>
                <w:szCs w:val="21"/>
              </w:rPr>
            </w:pPr>
          </w:p>
        </w:tc>
      </w:tr>
      <w:tr>
        <w:tblPrEx>
          <w:tblCellMar>
            <w:top w:w="0" w:type="dxa"/>
            <w:left w:w="108" w:type="dxa"/>
            <w:bottom w:w="0" w:type="dxa"/>
            <w:right w:w="108" w:type="dxa"/>
          </w:tblCellMar>
        </w:tblPrEx>
        <w:trPr>
          <w:trHeight w:val="340" w:hRule="atLeast"/>
          <w:jc w:val="center"/>
        </w:trPr>
        <w:tc>
          <w:tcPr>
            <w:tcW w:w="720" w:type="dxa"/>
            <w:vMerge w:val="restart"/>
            <w:tcBorders>
              <w:top w:val="single" w:color="auto" w:sz="4" w:space="0"/>
              <w:left w:val="single" w:color="auto" w:sz="8" w:space="0"/>
              <w:right w:val="single" w:color="auto" w:sz="8" w:space="0"/>
            </w:tcBorders>
            <w:vAlign w:val="center"/>
          </w:tcPr>
          <w:p>
            <w:pPr>
              <w:spacing w:line="240" w:lineRule="auto"/>
              <w:jc w:val="center"/>
              <w:rPr>
                <w:rFonts w:cs="Tahoma" w:asciiTheme="minorEastAsia" w:hAnsiTheme="minorEastAsia"/>
                <w:b/>
                <w:bCs/>
                <w:color w:val="000000" w:themeColor="text1"/>
                <w:sz w:val="24"/>
                <w:szCs w:val="24"/>
              </w:rPr>
            </w:pPr>
            <w:r>
              <w:rPr>
                <w:rFonts w:hint="eastAsia" w:cs="Tahoma" w:asciiTheme="minorEastAsia" w:hAnsiTheme="minorEastAsia"/>
                <w:b/>
                <w:bCs/>
                <w:color w:val="000000" w:themeColor="text1"/>
                <w:sz w:val="24"/>
                <w:szCs w:val="24"/>
              </w:rPr>
              <w:t>选</w:t>
            </w:r>
          </w:p>
          <w:p>
            <w:pPr>
              <w:spacing w:line="240" w:lineRule="auto"/>
              <w:jc w:val="center"/>
              <w:rPr>
                <w:rFonts w:cs="Tahoma" w:asciiTheme="minorEastAsia" w:hAnsiTheme="minorEastAsia"/>
                <w:b/>
                <w:color w:val="000000" w:themeColor="text1"/>
                <w:sz w:val="24"/>
                <w:szCs w:val="24"/>
              </w:rPr>
            </w:pPr>
            <w:r>
              <w:rPr>
                <w:rFonts w:hint="eastAsia" w:cs="Tahoma" w:asciiTheme="minorEastAsia" w:hAnsiTheme="minorEastAsia"/>
                <w:b/>
                <w:color w:val="000000" w:themeColor="text1"/>
                <w:sz w:val="24"/>
                <w:szCs w:val="24"/>
              </w:rPr>
              <w:t>修</w:t>
            </w:r>
          </w:p>
          <w:p>
            <w:pPr>
              <w:spacing w:line="240" w:lineRule="auto"/>
              <w:jc w:val="center"/>
              <w:rPr>
                <w:rFonts w:asciiTheme="minorEastAsia" w:hAnsiTheme="minorEastAsia"/>
                <w:color w:val="000000" w:themeColor="text1"/>
                <w:kern w:val="0"/>
                <w:sz w:val="24"/>
                <w:szCs w:val="24"/>
              </w:rPr>
            </w:pPr>
            <w:r>
              <w:rPr>
                <w:rFonts w:hint="eastAsia" w:cs="Tahoma" w:asciiTheme="minorEastAsia" w:hAnsiTheme="minorEastAsia"/>
                <w:b/>
                <w:bCs/>
                <w:color w:val="000000" w:themeColor="text1"/>
                <w:sz w:val="24"/>
                <w:szCs w:val="24"/>
              </w:rPr>
              <w:t>课</w:t>
            </w:r>
          </w:p>
        </w:tc>
        <w:tc>
          <w:tcPr>
            <w:tcW w:w="705"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w:t>
            </w:r>
          </w:p>
        </w:tc>
        <w:tc>
          <w:tcPr>
            <w:tcW w:w="2686"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**市情</w:t>
            </w:r>
          </w:p>
        </w:tc>
        <w:tc>
          <w:tcPr>
            <w:tcW w:w="709" w:type="dxa"/>
            <w:tcBorders>
              <w:top w:val="single" w:color="auto" w:sz="4" w:space="0"/>
              <w:left w:val="nil"/>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28"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p>
        </w:tc>
        <w:tc>
          <w:tcPr>
            <w:tcW w:w="915" w:type="dxa"/>
            <w:tcBorders>
              <w:top w:val="single" w:color="auto" w:sz="4" w:space="0"/>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40</w:t>
            </w:r>
          </w:p>
        </w:tc>
      </w:tr>
      <w:tr>
        <w:tblPrEx>
          <w:tblCellMar>
            <w:top w:w="0" w:type="dxa"/>
            <w:left w:w="108" w:type="dxa"/>
            <w:bottom w:w="0" w:type="dxa"/>
            <w:right w:w="108" w:type="dxa"/>
          </w:tblCellMar>
        </w:tblPrEx>
        <w:trPr>
          <w:trHeight w:val="340" w:hRule="atLeast"/>
          <w:jc w:val="center"/>
        </w:trPr>
        <w:tc>
          <w:tcPr>
            <w:tcW w:w="720" w:type="dxa"/>
            <w:vMerge w:val="continue"/>
            <w:tcBorders>
              <w:left w:val="single" w:color="auto" w:sz="8" w:space="0"/>
              <w:right w:val="single" w:color="auto" w:sz="8" w:space="0"/>
            </w:tcBorders>
            <w:vAlign w:val="center"/>
          </w:tcPr>
          <w:p>
            <w:pPr>
              <w:jc w:val="center"/>
              <w:rPr>
                <w:rFonts w:cs="Tahoma" w:asciiTheme="minorEastAsia" w:hAnsiTheme="minorEastAsia"/>
                <w:b/>
                <w:bCs/>
                <w:color w:val="000000" w:themeColor="text1"/>
                <w:sz w:val="24"/>
                <w:szCs w:val="24"/>
              </w:rPr>
            </w:pPr>
          </w:p>
        </w:tc>
        <w:tc>
          <w:tcPr>
            <w:tcW w:w="70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2</w:t>
            </w:r>
          </w:p>
        </w:tc>
        <w:tc>
          <w:tcPr>
            <w:tcW w:w="2686"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书法</w:t>
            </w:r>
          </w:p>
        </w:tc>
        <w:tc>
          <w:tcPr>
            <w:tcW w:w="709" w:type="dxa"/>
            <w:tcBorders>
              <w:top w:val="nil"/>
              <w:left w:val="nil"/>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8"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5"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28" w:type="dxa"/>
            <w:tcBorders>
              <w:top w:val="nil"/>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40</w:t>
            </w:r>
          </w:p>
        </w:tc>
      </w:tr>
      <w:tr>
        <w:tblPrEx>
          <w:tblCellMar>
            <w:top w:w="0" w:type="dxa"/>
            <w:left w:w="108" w:type="dxa"/>
            <w:bottom w:w="0" w:type="dxa"/>
            <w:right w:w="108" w:type="dxa"/>
          </w:tblCellMar>
        </w:tblPrEx>
        <w:trPr>
          <w:trHeight w:val="340" w:hRule="atLeast"/>
          <w:jc w:val="center"/>
        </w:trPr>
        <w:tc>
          <w:tcPr>
            <w:tcW w:w="720" w:type="dxa"/>
            <w:vMerge w:val="continue"/>
            <w:tcBorders>
              <w:left w:val="single" w:color="auto" w:sz="8" w:space="0"/>
              <w:right w:val="single" w:color="auto" w:sz="8" w:space="0"/>
            </w:tcBorders>
            <w:vAlign w:val="center"/>
          </w:tcPr>
          <w:p>
            <w:pPr>
              <w:jc w:val="center"/>
              <w:rPr>
                <w:rFonts w:cs="Tahoma" w:asciiTheme="minorEastAsia" w:hAnsiTheme="minorEastAsia"/>
                <w:b/>
                <w:color w:val="000000" w:themeColor="text1"/>
                <w:sz w:val="24"/>
                <w:szCs w:val="24"/>
              </w:rPr>
            </w:pPr>
          </w:p>
        </w:tc>
        <w:tc>
          <w:tcPr>
            <w:tcW w:w="70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3</w:t>
            </w:r>
          </w:p>
        </w:tc>
        <w:tc>
          <w:tcPr>
            <w:tcW w:w="2686"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文学欣赏</w:t>
            </w:r>
          </w:p>
        </w:tc>
        <w:tc>
          <w:tcPr>
            <w:tcW w:w="709" w:type="dxa"/>
            <w:tcBorders>
              <w:top w:val="nil"/>
              <w:left w:val="nil"/>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8"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9"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05" w:type="dxa"/>
            <w:tcBorders>
              <w:top w:val="nil"/>
              <w:left w:val="single" w:color="auto" w:sz="4" w:space="0"/>
              <w:bottom w:val="single" w:color="auto" w:sz="8" w:space="0"/>
              <w:right w:val="single" w:color="auto" w:sz="4" w:space="0"/>
            </w:tcBorders>
            <w:vAlign w:val="center"/>
          </w:tcPr>
          <w:p>
            <w:pPr>
              <w:jc w:val="center"/>
              <w:rPr>
                <w:rFonts w:ascii="宋体" w:hAnsi="宋体" w:cs="Tahoma"/>
                <w:color w:val="000000" w:themeColor="text1"/>
                <w:szCs w:val="21"/>
              </w:rPr>
            </w:pPr>
          </w:p>
        </w:tc>
        <w:tc>
          <w:tcPr>
            <w:tcW w:w="728" w:type="dxa"/>
            <w:tcBorders>
              <w:top w:val="nil"/>
              <w:left w:val="single" w:color="auto" w:sz="4" w:space="0"/>
              <w:bottom w:val="single" w:color="auto" w:sz="8" w:space="0"/>
              <w:right w:val="single" w:color="auto" w:sz="8" w:space="0"/>
            </w:tcBorders>
            <w:vAlign w:val="center"/>
          </w:tcPr>
          <w:p>
            <w:pPr>
              <w:jc w:val="center"/>
              <w:rPr>
                <w:rFonts w:ascii="宋体" w:hAnsi="宋体" w:cs="Tahoma"/>
                <w:color w:val="000000" w:themeColor="text1"/>
                <w:szCs w:val="21"/>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40</w:t>
            </w:r>
          </w:p>
        </w:tc>
      </w:tr>
      <w:tr>
        <w:tblPrEx>
          <w:tblCellMar>
            <w:top w:w="0" w:type="dxa"/>
            <w:left w:w="108" w:type="dxa"/>
            <w:bottom w:w="0" w:type="dxa"/>
            <w:right w:w="108" w:type="dxa"/>
          </w:tblCellMar>
        </w:tblPrEx>
        <w:trPr>
          <w:trHeight w:val="340" w:hRule="atLeast"/>
          <w:jc w:val="center"/>
        </w:trPr>
        <w:tc>
          <w:tcPr>
            <w:tcW w:w="720" w:type="dxa"/>
            <w:vMerge w:val="continue"/>
            <w:tcBorders>
              <w:left w:val="single" w:color="auto" w:sz="8" w:space="0"/>
              <w:bottom w:val="nil"/>
              <w:right w:val="single" w:color="auto" w:sz="8" w:space="0"/>
            </w:tcBorders>
            <w:vAlign w:val="center"/>
          </w:tcPr>
          <w:p>
            <w:pPr>
              <w:jc w:val="center"/>
              <w:rPr>
                <w:rFonts w:cs="Tahoma" w:asciiTheme="minorEastAsia" w:hAnsiTheme="minorEastAsia"/>
                <w:b/>
                <w:bCs/>
                <w:color w:val="000000" w:themeColor="text1"/>
                <w:sz w:val="24"/>
                <w:szCs w:val="24"/>
              </w:rPr>
            </w:pPr>
          </w:p>
        </w:tc>
        <w:tc>
          <w:tcPr>
            <w:tcW w:w="70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4</w:t>
            </w:r>
          </w:p>
        </w:tc>
        <w:tc>
          <w:tcPr>
            <w:tcW w:w="2686"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社团</w:t>
            </w:r>
          </w:p>
        </w:tc>
        <w:tc>
          <w:tcPr>
            <w:tcW w:w="4268" w:type="dxa"/>
            <w:gridSpan w:val="6"/>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注：餐饮、客房、导游、礼仪、茶艺等</w:t>
            </w:r>
          </w:p>
        </w:tc>
        <w:tc>
          <w:tcPr>
            <w:tcW w:w="915" w:type="dxa"/>
            <w:tcBorders>
              <w:top w:val="nil"/>
              <w:left w:val="nil"/>
              <w:bottom w:val="single" w:color="auto" w:sz="8" w:space="0"/>
              <w:right w:val="single" w:color="auto" w:sz="8" w:space="0"/>
            </w:tcBorders>
            <w:vAlign w:val="center"/>
          </w:tcPr>
          <w:p>
            <w:pPr>
              <w:jc w:val="center"/>
              <w:rPr>
                <w:rFonts w:ascii="宋体" w:hAnsi="宋体" w:cs="Tahoma"/>
                <w:color w:val="000000" w:themeColor="text1"/>
                <w:szCs w:val="21"/>
              </w:rPr>
            </w:pPr>
            <w:r>
              <w:rPr>
                <w:rFonts w:hint="eastAsia" w:ascii="宋体" w:hAnsi="宋体" w:cs="Tahoma"/>
                <w:color w:val="000000" w:themeColor="text1"/>
                <w:szCs w:val="21"/>
              </w:rPr>
              <w:t>120</w:t>
            </w:r>
          </w:p>
        </w:tc>
      </w:tr>
      <w:tr>
        <w:tblPrEx>
          <w:tblCellMar>
            <w:top w:w="0" w:type="dxa"/>
            <w:left w:w="108" w:type="dxa"/>
            <w:bottom w:w="0" w:type="dxa"/>
            <w:right w:w="108" w:type="dxa"/>
          </w:tblCellMar>
        </w:tblPrEx>
        <w:trPr>
          <w:trHeight w:val="340" w:hRule="atLeast"/>
          <w:jc w:val="center"/>
        </w:trPr>
        <w:tc>
          <w:tcPr>
            <w:tcW w:w="4111" w:type="dxa"/>
            <w:gridSpan w:val="3"/>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选修课合计</w:t>
            </w:r>
          </w:p>
        </w:tc>
        <w:tc>
          <w:tcPr>
            <w:tcW w:w="4268" w:type="dxa"/>
            <w:gridSpan w:val="6"/>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p>
        </w:tc>
        <w:tc>
          <w:tcPr>
            <w:tcW w:w="915"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240</w:t>
            </w:r>
          </w:p>
        </w:tc>
      </w:tr>
      <w:tr>
        <w:tblPrEx>
          <w:tblCellMar>
            <w:top w:w="0" w:type="dxa"/>
            <w:left w:w="108" w:type="dxa"/>
            <w:bottom w:w="0" w:type="dxa"/>
            <w:right w:w="108" w:type="dxa"/>
          </w:tblCellMar>
        </w:tblPrEx>
        <w:trPr>
          <w:trHeight w:val="340" w:hRule="atLeast"/>
          <w:jc w:val="center"/>
        </w:trPr>
        <w:tc>
          <w:tcPr>
            <w:tcW w:w="4111" w:type="dxa"/>
            <w:gridSpan w:val="3"/>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周课时</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32</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32</w:t>
            </w:r>
          </w:p>
        </w:tc>
        <w:tc>
          <w:tcPr>
            <w:tcW w:w="708"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33</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31</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p>
        </w:tc>
        <w:tc>
          <w:tcPr>
            <w:tcW w:w="724" w:type="dxa"/>
            <w:tcBorders>
              <w:top w:val="nil"/>
              <w:left w:val="nil"/>
              <w:bottom w:val="single" w:color="auto" w:sz="8" w:space="0"/>
              <w:right w:val="single" w:color="auto" w:sz="8" w:space="0"/>
            </w:tcBorders>
            <w:vAlign w:val="center"/>
          </w:tcPr>
          <w:p>
            <w:pPr>
              <w:widowControl/>
              <w:jc w:val="center"/>
              <w:rPr>
                <w:color w:val="000000" w:themeColor="text1"/>
                <w:kern w:val="0"/>
                <w:sz w:val="20"/>
                <w:szCs w:val="20"/>
              </w:rPr>
            </w:pPr>
          </w:p>
        </w:tc>
        <w:tc>
          <w:tcPr>
            <w:tcW w:w="915" w:type="dxa"/>
            <w:tcBorders>
              <w:top w:val="nil"/>
              <w:left w:val="nil"/>
              <w:bottom w:val="nil"/>
              <w:right w:val="single" w:color="auto" w:sz="8" w:space="0"/>
            </w:tcBorders>
            <w:vAlign w:val="center"/>
          </w:tcPr>
          <w:p>
            <w:pPr>
              <w:widowControl/>
              <w:jc w:val="center"/>
              <w:rPr>
                <w:color w:val="000000" w:themeColor="text1"/>
                <w:kern w:val="0"/>
                <w:sz w:val="20"/>
                <w:szCs w:val="20"/>
              </w:rPr>
            </w:pPr>
          </w:p>
        </w:tc>
      </w:tr>
      <w:tr>
        <w:tblPrEx>
          <w:tblCellMar>
            <w:top w:w="0" w:type="dxa"/>
            <w:left w:w="108" w:type="dxa"/>
            <w:bottom w:w="0" w:type="dxa"/>
            <w:right w:w="108" w:type="dxa"/>
          </w:tblCellMar>
        </w:tblPrEx>
        <w:trPr>
          <w:trHeight w:val="340" w:hRule="atLeast"/>
          <w:jc w:val="center"/>
        </w:trPr>
        <w:tc>
          <w:tcPr>
            <w:tcW w:w="4111" w:type="dxa"/>
            <w:gridSpan w:val="3"/>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合计</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700</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700</w:t>
            </w:r>
          </w:p>
        </w:tc>
        <w:tc>
          <w:tcPr>
            <w:tcW w:w="708"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700</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700</w:t>
            </w:r>
          </w:p>
        </w:tc>
        <w:tc>
          <w:tcPr>
            <w:tcW w:w="709" w:type="dxa"/>
            <w:tcBorders>
              <w:top w:val="nil"/>
              <w:left w:val="nil"/>
              <w:bottom w:val="single" w:color="auto" w:sz="8" w:space="0"/>
              <w:right w:val="single" w:color="auto" w:sz="8" w:space="0"/>
            </w:tcBorders>
            <w:vAlign w:val="center"/>
          </w:tcPr>
          <w:p>
            <w:pPr>
              <w:jc w:val="center"/>
              <w:rPr>
                <w:rFonts w:ascii="宋体" w:hAnsi="宋体" w:cs="Tahoma"/>
                <w:b/>
                <w:bCs/>
                <w:color w:val="000000" w:themeColor="text1"/>
                <w:szCs w:val="21"/>
              </w:rPr>
            </w:pPr>
          </w:p>
        </w:tc>
        <w:tc>
          <w:tcPr>
            <w:tcW w:w="724" w:type="dxa"/>
            <w:tcBorders>
              <w:top w:val="nil"/>
              <w:left w:val="nil"/>
              <w:bottom w:val="single" w:color="auto" w:sz="8" w:space="0"/>
              <w:right w:val="nil"/>
            </w:tcBorders>
            <w:vAlign w:val="center"/>
          </w:tcPr>
          <w:p>
            <w:pPr>
              <w:widowControl/>
              <w:jc w:val="center"/>
              <w:rPr>
                <w:color w:val="000000" w:themeColor="text1"/>
                <w:kern w:val="0"/>
                <w:sz w:val="20"/>
                <w:szCs w:val="20"/>
              </w:rPr>
            </w:pPr>
          </w:p>
        </w:tc>
        <w:tc>
          <w:tcPr>
            <w:tcW w:w="91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Tahoma"/>
                <w:b/>
                <w:bCs/>
                <w:color w:val="000000" w:themeColor="text1"/>
                <w:szCs w:val="21"/>
              </w:rPr>
            </w:pPr>
            <w:r>
              <w:rPr>
                <w:rFonts w:hint="eastAsia" w:ascii="宋体" w:hAnsi="宋体" w:cs="Tahoma"/>
                <w:b/>
                <w:bCs/>
                <w:color w:val="000000" w:themeColor="text1"/>
                <w:szCs w:val="21"/>
              </w:rPr>
              <w:t>2800</w:t>
            </w:r>
          </w:p>
        </w:tc>
      </w:tr>
    </w:tbl>
    <w:p>
      <w:pPr>
        <w:adjustRightInd w:val="0"/>
        <w:snapToGrid w:val="0"/>
        <w:spacing w:line="400" w:lineRule="exact"/>
        <w:ind w:firstLine="480" w:firstLineChars="200"/>
        <w:jc w:val="left"/>
        <w:rPr>
          <w:rFonts w:ascii="宋体" w:hAnsi="宋体" w:cs="宋体"/>
          <w:color w:val="000000" w:themeColor="text1"/>
          <w:sz w:val="24"/>
          <w:szCs w:val="24"/>
        </w:rPr>
      </w:pPr>
      <w:r>
        <w:rPr>
          <w:rFonts w:hint="eastAsia" w:ascii="宋体" w:hAnsi="宋体" w:cs="宋体"/>
          <w:color w:val="000000" w:themeColor="text1"/>
          <w:sz w:val="24"/>
          <w:szCs w:val="24"/>
        </w:rPr>
        <w:t>注：本表不含军训、社会实践、入学教育、毕业教育等安排。</w:t>
      </w:r>
    </w:p>
    <w:p>
      <w:pPr>
        <w:adjustRightInd w:val="0"/>
        <w:snapToGrid w:val="0"/>
        <w:spacing w:beforeLines="50" w:afterLines="50" w:line="400" w:lineRule="exact"/>
        <w:ind w:firstLine="482" w:firstLineChars="200"/>
        <w:jc w:val="left"/>
        <w:rPr>
          <w:color w:val="000000" w:themeColor="text1"/>
        </w:rPr>
      </w:pPr>
      <w:bookmarkStart w:id="20" w:name="_Toc492371627"/>
      <w:r>
        <w:rPr>
          <w:rStyle w:val="34"/>
          <w:rFonts w:hint="eastAsia" w:ascii="宋体" w:hAnsi="宋体" w:cs="宋体"/>
          <w:color w:val="000000" w:themeColor="text1"/>
          <w:sz w:val="24"/>
        </w:rPr>
        <w:t>（三）</w:t>
      </w:r>
      <w:r>
        <w:fldChar w:fldCharType="begin"/>
      </w:r>
      <w:r>
        <w:instrText xml:space="preserve"> HYPERLINK "file:///C:\\Users\\Administrator\\Desktop\\2020.6.22人才培养方案%20%20新改(1)\\7%20旅游服务与管理人才培养方案%20%20ok.doc" \l "_Toc386039839" </w:instrText>
      </w:r>
      <w:r>
        <w:fldChar w:fldCharType="separate"/>
      </w:r>
      <w:r>
        <w:rPr>
          <w:rStyle w:val="34"/>
          <w:rFonts w:hint="eastAsia" w:ascii="宋体" w:hAnsi="宋体" w:cs="宋体"/>
          <w:color w:val="000000" w:themeColor="text1"/>
          <w:sz w:val="24"/>
        </w:rPr>
        <w:t>课外培养活动设计</w:t>
      </w:r>
      <w:r>
        <w:rPr>
          <w:rStyle w:val="34"/>
          <w:rFonts w:hint="eastAsia" w:ascii="宋体" w:hAnsi="宋体" w:cs="宋体"/>
          <w:color w:val="000000" w:themeColor="text1"/>
          <w:sz w:val="24"/>
        </w:rPr>
        <w:fldChar w:fldCharType="end"/>
      </w:r>
      <w:bookmarkEnd w:id="20"/>
    </w:p>
    <w:tbl>
      <w:tblPr>
        <w:tblStyle w:val="25"/>
        <w:tblpPr w:leftFromText="180" w:rightFromText="180" w:vertAnchor="text" w:horzAnchor="page" w:tblpXSpec="center"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bCs/>
                <w:color w:val="000000" w:themeColor="text1"/>
                <w:sz w:val="24"/>
              </w:rPr>
              <w:t>类别</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bCs/>
                <w:color w:val="000000" w:themeColor="text1"/>
                <w:sz w:val="24"/>
              </w:rPr>
              <w:t>活动名称或内容</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bCs/>
                <w:color w:val="000000" w:themeColor="text1"/>
                <w:sz w:val="24"/>
              </w:rPr>
            </w:pPr>
            <w:r>
              <w:rPr>
                <w:rFonts w:hint="eastAsia" w:ascii="宋体" w:hAnsi="宋体" w:cs="宋体"/>
                <w:b/>
                <w:bCs/>
                <w:color w:val="000000" w:themeColor="text1"/>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文体活动</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艺术节</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每年举行一次消夏晚会、元旦联欢会、卡拉OK大赛等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themeColor="text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社团活动</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举办演讲、写作、朗诵、书法、音乐、舞蹈等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themeColor="text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体育竞赛</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每年举办一次体育节、体育运动会等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社会实践</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社会实践活动</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餐饮服务，导游讲解服务，礼仪服务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themeColor="text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公益活动</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环保服务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技术活动</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技能大赛</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礼仪、餐饮、客房、导游等技能大赛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000000" w:themeColor="text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科技活动</w:t>
            </w:r>
          </w:p>
        </w:tc>
        <w:tc>
          <w:tcPr>
            <w:tcW w:w="56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科技小竞赛</w:t>
            </w:r>
          </w:p>
        </w:tc>
      </w:tr>
    </w:tbl>
    <w:p>
      <w:pPr>
        <w:adjustRightInd w:val="0"/>
        <w:snapToGrid w:val="0"/>
        <w:spacing w:line="400" w:lineRule="exact"/>
        <w:ind w:firstLine="482" w:firstLineChars="200"/>
        <w:jc w:val="left"/>
        <w:rPr>
          <w:color w:val="000000" w:themeColor="text1"/>
        </w:rPr>
      </w:pPr>
      <w:bookmarkStart w:id="21" w:name="_Toc492371628"/>
      <w:r>
        <w:rPr>
          <w:rStyle w:val="34"/>
          <w:rFonts w:hint="eastAsia" w:ascii="宋体" w:hAnsi="宋体" w:cs="宋体"/>
          <w:color w:val="000000" w:themeColor="text1"/>
          <w:sz w:val="24"/>
        </w:rPr>
        <w:t>九、教学实施</w:t>
      </w:r>
      <w:bookmarkEnd w:id="21"/>
    </w:p>
    <w:p>
      <w:pPr>
        <w:adjustRightInd w:val="0"/>
        <w:snapToGrid w:val="0"/>
        <w:spacing w:line="400" w:lineRule="exact"/>
        <w:ind w:firstLine="482" w:firstLineChars="200"/>
        <w:jc w:val="left"/>
        <w:rPr>
          <w:rFonts w:ascii="宋体" w:hAnsi="宋体" w:cs="宋体"/>
          <w:color w:val="000000" w:themeColor="text1"/>
          <w:sz w:val="24"/>
        </w:rPr>
      </w:pPr>
      <w:bookmarkStart w:id="22" w:name="_Toc492371629"/>
      <w:r>
        <w:rPr>
          <w:rStyle w:val="34"/>
          <w:rFonts w:hint="eastAsia" w:ascii="宋体" w:hAnsi="宋体" w:cs="宋体"/>
          <w:color w:val="000000" w:themeColor="text1"/>
          <w:sz w:val="24"/>
        </w:rPr>
        <w:t>（一）教学要求</w:t>
      </w:r>
      <w:bookmarkEnd w:id="22"/>
    </w:p>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1.公共基础课</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公共基础课的教学要符合教育部有关教育教学的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2.专业课和实习实训课</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专业课和实习实训课按照相应职业岗位（群）的能力要求，强调理论实践一体化，突出“做中学、做中教”的职业教育教学特色，提倡项目教学、案例教学、任务教学、角色扮演、情境教学等方法，利用校内实训室和校外实训基地，将学生的自主学习、合作学习和教师引导教学等教学组织形式有机结合起来。</w:t>
      </w:r>
    </w:p>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3.课外培养活动</w:t>
      </w:r>
    </w:p>
    <w:p>
      <w:pPr>
        <w:adjustRightInd w:val="0"/>
        <w:snapToGrid w:val="0"/>
        <w:spacing w:line="400" w:lineRule="exact"/>
        <w:ind w:firstLine="480" w:firstLineChars="200"/>
        <w:jc w:val="left"/>
        <w:rPr>
          <w:rStyle w:val="34"/>
          <w:color w:val="000000" w:themeColor="text1"/>
          <w:sz w:val="24"/>
        </w:rPr>
      </w:pPr>
      <w:r>
        <w:rPr>
          <w:rFonts w:hint="eastAsia" w:ascii="宋体" w:hAnsi="宋体" w:cs="宋体"/>
          <w:color w:val="000000" w:themeColor="text1"/>
          <w:sz w:val="24"/>
        </w:rPr>
        <w:t>学生各类社会实践活动（如社会调查、志愿服务、公益活动、勤工助学等）和其他素质拓展活动（各类主题活动、文化讲堂、体育艺术、心理健康、文明养成等）贯穿于人才培养全过程。要充分发挥学生在实践育人中的主体作用，支持和引导班级、社团等学生组织自主开展社会实践活动，发挥学生在实践育人中自我教育、自我管理、自我服务作用。坚持立德树人，将社会主义核心价值观教育融入人才培养全过程。</w:t>
      </w:r>
    </w:p>
    <w:p>
      <w:pPr>
        <w:adjustRightInd w:val="0"/>
        <w:snapToGrid w:val="0"/>
        <w:spacing w:line="400" w:lineRule="exact"/>
        <w:ind w:firstLine="482" w:firstLineChars="200"/>
        <w:jc w:val="left"/>
        <w:rPr>
          <w:rStyle w:val="34"/>
          <w:rFonts w:ascii="宋体" w:hAnsi="宋体" w:cs="宋体"/>
          <w:color w:val="000000" w:themeColor="text1"/>
          <w:sz w:val="24"/>
        </w:rPr>
      </w:pPr>
      <w:bookmarkStart w:id="23" w:name="_Toc492371630"/>
      <w:r>
        <w:rPr>
          <w:rStyle w:val="34"/>
          <w:rFonts w:hint="eastAsia" w:ascii="宋体" w:hAnsi="宋体" w:cs="宋体"/>
          <w:color w:val="000000" w:themeColor="text1"/>
          <w:sz w:val="24"/>
        </w:rPr>
        <w:t>（二）教学管理</w:t>
      </w:r>
      <w:bookmarkEnd w:id="23"/>
    </w:p>
    <w:p>
      <w:pPr>
        <w:adjustRightInd w:val="0"/>
        <w:snapToGrid w:val="0"/>
        <w:spacing w:line="400" w:lineRule="exact"/>
        <w:ind w:firstLine="480" w:firstLineChars="200"/>
        <w:jc w:val="left"/>
        <w:rPr>
          <w:color w:val="000000" w:themeColor="text1"/>
        </w:rPr>
      </w:pPr>
      <w:r>
        <w:rPr>
          <w:rFonts w:hint="eastAsia" w:ascii="宋体" w:hAnsi="宋体" w:cs="宋体"/>
          <w:color w:val="000000" w:themeColor="text1"/>
          <w:sz w:val="24"/>
        </w:rPr>
        <w:t>合理调配专业教师、专业实训室和实训场地等教学资源，为课程的实施创造条件；加强对教学过程的质量监控，改革教学评价的标准和方法，促进教师教学能力的提升，保证教学质量。</w:t>
      </w:r>
    </w:p>
    <w:p>
      <w:pPr>
        <w:adjustRightInd w:val="0"/>
        <w:snapToGrid w:val="0"/>
        <w:spacing w:line="400" w:lineRule="exact"/>
        <w:ind w:firstLine="482" w:firstLineChars="200"/>
        <w:jc w:val="left"/>
        <w:rPr>
          <w:rStyle w:val="34"/>
          <w:color w:val="000000" w:themeColor="text1"/>
          <w:sz w:val="24"/>
        </w:rPr>
      </w:pPr>
      <w:bookmarkStart w:id="24" w:name="_Toc492371631"/>
      <w:r>
        <w:rPr>
          <w:rStyle w:val="34"/>
          <w:rFonts w:hint="eastAsia" w:ascii="宋体" w:hAnsi="宋体" w:cs="宋体"/>
          <w:color w:val="000000" w:themeColor="text1"/>
          <w:sz w:val="24"/>
        </w:rPr>
        <w:t>十、教学评价</w:t>
      </w:r>
      <w:bookmarkEnd w:id="24"/>
    </w:p>
    <w:p>
      <w:pPr>
        <w:adjustRightInd w:val="0"/>
        <w:snapToGrid w:val="0"/>
        <w:spacing w:line="400" w:lineRule="exact"/>
        <w:ind w:firstLine="482" w:firstLineChars="200"/>
        <w:jc w:val="left"/>
        <w:rPr>
          <w:color w:val="000000" w:themeColor="text1"/>
        </w:rPr>
      </w:pPr>
      <w:r>
        <w:rPr>
          <w:rFonts w:hint="eastAsia" w:ascii="宋体" w:hAnsi="宋体" w:cs="宋体"/>
          <w:b/>
          <w:color w:val="000000" w:themeColor="text1"/>
          <w:sz w:val="24"/>
        </w:rPr>
        <w:t>1.课堂教学评价</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课堂学习成绩评定分为过程性评定和结果性评定两部分，过程性评定成绩占60分，包括出勤、课堂表现及作业完成情况，分别占10分、40分、10分；结果性评定成绩占40分，期中考试和期末考试各占20分。</w:t>
      </w:r>
    </w:p>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2.实训实习评价</w:t>
      </w:r>
    </w:p>
    <w:p>
      <w:pPr>
        <w:adjustRightInd w:val="0"/>
        <w:snapToGrid w:val="0"/>
        <w:spacing w:line="40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实习实训包括校内实习实训和校外实习实训，校内实习实训的成绩评定与课堂学习成绩评定相同。校外实习考核包括实习日志、实习报告、实习单位综合评价。</w:t>
      </w:r>
    </w:p>
    <w:p>
      <w:pPr>
        <w:adjustRightInd w:val="0"/>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十一、教学保障</w:t>
      </w:r>
    </w:p>
    <w:p>
      <w:pPr>
        <w:adjustRightInd w:val="0"/>
        <w:snapToGrid w:val="0"/>
        <w:spacing w:line="400" w:lineRule="exact"/>
        <w:ind w:firstLine="482" w:firstLineChars="200"/>
        <w:rPr>
          <w:rFonts w:ascii="宋体" w:hAnsi="宋体"/>
          <w:color w:val="000000" w:themeColor="text1"/>
          <w:sz w:val="24"/>
        </w:rPr>
      </w:pPr>
      <w:r>
        <w:rPr>
          <w:rFonts w:hint="eastAsia" w:ascii="宋体" w:hAnsi="宋体"/>
          <w:b/>
          <w:color w:val="000000" w:themeColor="text1"/>
          <w:sz w:val="24"/>
        </w:rPr>
        <w:t>（一）师资队伍</w:t>
      </w:r>
    </w:p>
    <w:p>
      <w:pPr>
        <w:adjustRightInd w:val="0"/>
        <w:snapToGrid w:val="0"/>
        <w:spacing w:line="40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1.专业建设指导委员会</w:t>
      </w:r>
    </w:p>
    <w:p>
      <w:pPr>
        <w:adjustRightInd w:val="0"/>
        <w:snapToGrid w:val="0"/>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成立由学校领导、行业企业相关专家，骨干教师组成的专业建设指导委员会，全面，定期召开会议，组织专业建设、改革发展的战略研究，全面指导、协调教育教学工作。</w:t>
      </w:r>
    </w:p>
    <w:p>
      <w:pPr>
        <w:adjustRightInd w:val="0"/>
        <w:snapToGrid w:val="0"/>
        <w:spacing w:line="40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2.双专业带头人</w:t>
      </w:r>
    </w:p>
    <w:p>
      <w:pPr>
        <w:adjustRightInd w:val="0"/>
        <w:snapToGrid w:val="0"/>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选派1名本专业实践能力强、教学水平高的专业教师做为校内专业带头人，聘用1名旅游服务与管理行业的技术专家作为校外专业带头人，认真探索和研究本专业的专业发展趋势，把握专业发展方向，在专业建设中起引领作用。</w:t>
      </w:r>
    </w:p>
    <w:p>
      <w:pPr>
        <w:adjustRightInd w:val="0"/>
        <w:snapToGrid w:val="0"/>
        <w:spacing w:line="40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3.专业专任教师</w:t>
      </w:r>
    </w:p>
    <w:p>
      <w:pPr>
        <w:adjustRightInd w:val="0"/>
        <w:snapToGrid w:val="0"/>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专业专任教师共不低于12人，学历职称结构应合理，至少应配备具有相关专业中级以上专业技术职务的专任教师8人，双师型教师不低于50%。</w:t>
      </w:r>
    </w:p>
    <w:p>
      <w:pPr>
        <w:adjustRightInd w:val="0"/>
        <w:snapToGrid w:val="0"/>
        <w:spacing w:line="40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4.专业兼职教师</w:t>
      </w:r>
    </w:p>
    <w:p>
      <w:pPr>
        <w:adjustRightInd w:val="0"/>
        <w:snapToGrid w:val="0"/>
        <w:spacing w:line="400" w:lineRule="exact"/>
        <w:ind w:firstLine="480" w:firstLineChars="200"/>
        <w:rPr>
          <w:b/>
          <w:color w:val="000000" w:themeColor="text1"/>
          <w:sz w:val="24"/>
        </w:rPr>
      </w:pPr>
      <w:r>
        <w:rPr>
          <w:rFonts w:hint="eastAsia" w:ascii="宋体" w:hAnsi="宋体" w:cs="宋体"/>
          <w:color w:val="000000" w:themeColor="text1"/>
          <w:sz w:val="24"/>
        </w:rPr>
        <w:t>聘请4名以上旅游行业高技能人才担任兼职教师，承担教学任务、技能指导、技术讲座；参与专业建设；参加以课程建设和教学改革为主要内容的专题教学研究活动；参与校内实训基地建设。兼职教师应具有高级及以上职业资格或中级以上专业技术职务。</w:t>
      </w:r>
    </w:p>
    <w:p>
      <w:pPr>
        <w:adjustRightInd w:val="0"/>
        <w:snapToGrid w:val="0"/>
        <w:spacing w:line="400" w:lineRule="exact"/>
        <w:ind w:firstLine="482" w:firstLineChars="200"/>
        <w:rPr>
          <w:rFonts w:ascii="宋体" w:hAnsi="宋体" w:cs="宋体"/>
          <w:color w:val="000000" w:themeColor="text1"/>
          <w:sz w:val="24"/>
        </w:rPr>
      </w:pPr>
      <w:bookmarkStart w:id="25" w:name="_Toc492371633"/>
      <w:r>
        <w:rPr>
          <w:rStyle w:val="34"/>
          <w:rFonts w:hint="eastAsia" w:ascii="宋体" w:hAnsi="宋体" w:cs="宋体"/>
          <w:color w:val="000000" w:themeColor="text1"/>
          <w:sz w:val="24"/>
        </w:rPr>
        <w:t>（二）实习实训环境</w:t>
      </w:r>
      <w:bookmarkEnd w:id="25"/>
    </w:p>
    <w:p>
      <w:pPr>
        <w:adjustRightInd w:val="0"/>
        <w:snapToGrid w:val="0"/>
        <w:spacing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1.校内实训室</w:t>
      </w:r>
    </w:p>
    <w:tbl>
      <w:tblPr>
        <w:tblStyle w:val="2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853"/>
        <w:gridCol w:w="371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08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8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实训室名称</w:t>
            </w:r>
          </w:p>
        </w:tc>
        <w:tc>
          <w:tcPr>
            <w:tcW w:w="56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color w:val="000000" w:themeColor="text1"/>
                <w:sz w:val="24"/>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color w:val="000000" w:themeColor="text1"/>
                <w:sz w:val="24"/>
              </w:rPr>
            </w:pP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形体训练室</w:t>
            </w: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把杆，镜子，衣柜</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餐饮实训室</w:t>
            </w: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餐桌，台布，口布，餐具，酒具</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2*10人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客房实训室</w:t>
            </w: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床，衣柜，床上用品</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导游实训室</w:t>
            </w: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电脑，影像资料</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1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茶艺实训室</w:t>
            </w:r>
          </w:p>
        </w:tc>
        <w:tc>
          <w:tcPr>
            <w:tcW w:w="3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茶具、桌椅</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12</w:t>
            </w:r>
          </w:p>
        </w:tc>
      </w:tr>
    </w:tbl>
    <w:p>
      <w:pPr>
        <w:adjustRightInd w:val="0"/>
        <w:snapToGrid w:val="0"/>
        <w:spacing w:beforeLines="50" w:afterLines="50" w:line="400" w:lineRule="exact"/>
        <w:ind w:firstLine="482" w:firstLineChars="200"/>
        <w:jc w:val="left"/>
        <w:rPr>
          <w:rFonts w:ascii="宋体" w:hAnsi="宋体" w:cs="宋体"/>
          <w:b/>
          <w:color w:val="000000" w:themeColor="text1"/>
          <w:sz w:val="24"/>
        </w:rPr>
      </w:pPr>
      <w:r>
        <w:rPr>
          <w:rFonts w:hint="eastAsia" w:ascii="宋体" w:hAnsi="宋体" w:cs="宋体"/>
          <w:b/>
          <w:color w:val="000000" w:themeColor="text1"/>
          <w:sz w:val="24"/>
        </w:rPr>
        <w:t>2.校外实训基地</w:t>
      </w:r>
    </w:p>
    <w:tbl>
      <w:tblPr>
        <w:tblStyle w:val="2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051"/>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实训基地名称</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b/>
                <w:color w:val="000000" w:themeColor="text1"/>
                <w:sz w:val="24"/>
              </w:rPr>
            </w:pPr>
            <w:r>
              <w:rPr>
                <w:rFonts w:hint="eastAsia" w:ascii="宋体" w:hAnsi="宋体" w:cs="宋体"/>
                <w:b/>
                <w:color w:val="000000" w:themeColor="text1"/>
                <w:sz w:val="24"/>
              </w:rPr>
              <w:t>完成的实习内容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**锦江饭店</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餐饮服务，客房服务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**阁</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导游讲解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**景区</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导游讲解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kern w:val="0"/>
                <w:szCs w:val="21"/>
              </w:rPr>
              <w:t>**农业公园</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餐饮服务，导游讲解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30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olor w:val="000000" w:themeColor="text1"/>
                <w:szCs w:val="21"/>
              </w:rPr>
              <w:t>**商城</w:t>
            </w:r>
          </w:p>
        </w:tc>
        <w:tc>
          <w:tcPr>
            <w:tcW w:w="4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cs="宋体"/>
                <w:color w:val="000000" w:themeColor="text1"/>
                <w:szCs w:val="21"/>
              </w:rPr>
            </w:pPr>
            <w:r>
              <w:rPr>
                <w:rFonts w:hint="eastAsia" w:ascii="宋体" w:hAnsi="宋体" w:cs="宋体"/>
                <w:color w:val="000000" w:themeColor="text1"/>
                <w:szCs w:val="21"/>
              </w:rPr>
              <w:t>导游讲解</w:t>
            </w:r>
          </w:p>
        </w:tc>
      </w:tr>
    </w:tbl>
    <w:p>
      <w:pPr>
        <w:adjustRightInd w:val="0"/>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（三）教学资源</w:t>
      </w:r>
    </w:p>
    <w:p>
      <w:pPr>
        <w:adjustRightInd w:val="0"/>
        <w:snapToGrid w:val="0"/>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在专业课教材选用上严格执行国家和省(区、市)关于教材选用的有关要求。选用的是由高等教育出版社的经全国职业教育教材审定委员会审定“十二五”职业教育国家规划的教材。建设专业核心课程资源库,包括课程标准、课程整体设计、单元设计、课件视频、动画、典型案例、虚拟训练、实训项目、考核等素材资源。丰富教学资源网络平台功能,提升信息化服务水平。</w:t>
      </w:r>
    </w:p>
    <w:p>
      <w:pPr>
        <w:adjustRightInd w:val="0"/>
        <w:snapToGrid w:val="0"/>
        <w:spacing w:line="400" w:lineRule="exact"/>
        <w:ind w:firstLine="482" w:firstLineChars="200"/>
        <w:rPr>
          <w:b/>
          <w:color w:val="000000" w:themeColor="text1"/>
          <w:sz w:val="24"/>
        </w:rPr>
      </w:pPr>
      <w:r>
        <w:rPr>
          <w:rFonts w:hint="eastAsia"/>
          <w:b/>
          <w:color w:val="000000" w:themeColor="text1"/>
          <w:sz w:val="24"/>
        </w:rPr>
        <w:t>（四）教学方法</w:t>
      </w:r>
    </w:p>
    <w:p>
      <w:pPr>
        <w:spacing w:line="4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1.依据本专业培养目标、课程教学要求、学生能力与教学资源,注重教与学的互动,采用理实一体化教学,做中学,做中教,有效提高学生的学习积极性和主动性,提高课程教学效果,以达到预期的教学目标。</w:t>
      </w:r>
    </w:p>
    <w:p>
      <w:pPr>
        <w:widowControl/>
        <w:spacing w:line="240" w:lineRule="auto"/>
        <w:jc w:val="left"/>
        <w:rPr>
          <w:rFonts w:ascii="宋体" w:hAnsi="宋体" w:cs="宋体"/>
          <w:b/>
          <w:color w:val="000000" w:themeColor="text1"/>
          <w:sz w:val="24"/>
        </w:rPr>
      </w:pPr>
      <w:r>
        <w:rPr>
          <w:rFonts w:ascii="宋体" w:hAnsi="宋体" w:cs="宋体"/>
          <w:b/>
          <w:color w:val="000000" w:themeColor="text1"/>
          <w:sz w:val="24"/>
        </w:rPr>
        <w:br w:type="page"/>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2.专业基础课采用自主探究式教学法、案例教学法、项目教学法、演示教学法、启发式教学法等教学方法,结合多媒体教学课件、数字化教学资源和企业走访参观等手段、使学生增强感性认识, 认识提高学习能力,为专业技能方向课的学习奠定扎实的基础。</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专业技能方向课可以采取情景模拟、任务驱动、项目教学等方式,利用课前一讲、分组模拟训练,结合多媒体教学课件、数字化教学资源等手段,使学生在情境中体会把握,提高教学的效果,从而增强学生的实践能力,培养学生的创听能力。</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4.特色专业课可以根据课程特色和学校特色,灵活采用各种教学方法开展。</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5.在教学过程中,通过各种典型案例,加强学生职业道德和职业素养的培养,培养学生诚实守信、遵纪守法、廉洁自律、善于沟通和团队合作的品质。</w:t>
      </w:r>
    </w:p>
    <w:p>
      <w:pPr>
        <w:adjustRightInd w:val="0"/>
        <w:snapToGrid w:val="0"/>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十二、毕业要求</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1.符合教育部颁布的《中等职业学校学生学籍管理办法》。</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2.思想品德评价合格。</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3.修满教学计划规定的全部课程且成绩合格。</w:t>
      </w:r>
    </w:p>
    <w:p>
      <w:pPr>
        <w:adjustRightInd w:val="0"/>
        <w:snapToGrid w:val="0"/>
        <w:spacing w:line="360" w:lineRule="auto"/>
        <w:ind w:left="480"/>
        <w:rPr>
          <w:rFonts w:ascii="宋体" w:hAnsi="宋体"/>
          <w:color w:val="000000" w:themeColor="text1"/>
          <w:sz w:val="24"/>
        </w:rPr>
      </w:pPr>
      <w:r>
        <w:rPr>
          <w:rFonts w:hint="eastAsia" w:ascii="宋体" w:hAnsi="宋体"/>
          <w:color w:val="000000" w:themeColor="text1"/>
          <w:sz w:val="24"/>
        </w:rPr>
        <w:t>4.顶岗实习和社会实践考核合格。</w:t>
      </w:r>
    </w:p>
    <w:p>
      <w:pPr>
        <w:adjustRightInd w:val="0"/>
        <w:snapToGrid w:val="0"/>
        <w:spacing w:line="360" w:lineRule="auto"/>
        <w:ind w:left="480"/>
        <w:rPr>
          <w:rFonts w:ascii="宋体" w:hAnsi="宋体"/>
          <w:color w:val="000000" w:themeColor="text1"/>
          <w:sz w:val="24"/>
        </w:rPr>
      </w:pPr>
      <w:r>
        <w:rPr>
          <w:rFonts w:hint="eastAsia" w:ascii="宋体" w:hAnsi="宋体"/>
          <w:color w:val="000000" w:themeColor="text1"/>
          <w:sz w:val="24"/>
        </w:rPr>
        <w:t>5.符合学校其它的有关毕业要求。</w:t>
      </w:r>
    </w:p>
    <w:p>
      <w:pPr>
        <w:widowControl/>
        <w:spacing w:line="240" w:lineRule="auto"/>
        <w:jc w:val="left"/>
        <w:rPr>
          <w:rFonts w:ascii="宋体" w:hAnsi="宋体" w:cs="宋体"/>
          <w:color w:val="000000" w:themeColor="text1"/>
          <w:sz w:val="24"/>
          <w:szCs w:val="24"/>
        </w:rPr>
      </w:pPr>
    </w:p>
    <w:sectPr>
      <w:headerReference r:id="rId11" w:type="default"/>
      <w:footerReference r:id="rId12" w:type="default"/>
      <w:pgSz w:w="11906" w:h="16838"/>
      <w:pgMar w:top="1418" w:right="1418" w:bottom="1418" w:left="1418"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mic Sans MS">
    <w:panose1 w:val="030F0702030302020204"/>
    <w:charset w:val="00"/>
    <w:family w:val="script"/>
    <w:pitch w:val="default"/>
    <w:sig w:usb0="00000287" w:usb1="00000013"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973086"/>
    </w:sdtPr>
    <w:sdtContent>
      <w:p>
        <w:pPr>
          <w:pStyle w:val="16"/>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VlODI2YzZmODQyYWQ3NDY2NTRmMjUwZDg0MGI0MTMifQ=="/>
  </w:docVars>
  <w:rsids>
    <w:rsidRoot w:val="0075705B"/>
    <w:rsid w:val="000023D9"/>
    <w:rsid w:val="0001270E"/>
    <w:rsid w:val="00012962"/>
    <w:rsid w:val="00013BA8"/>
    <w:rsid w:val="00013D20"/>
    <w:rsid w:val="0001590A"/>
    <w:rsid w:val="00016D88"/>
    <w:rsid w:val="000221D4"/>
    <w:rsid w:val="00023515"/>
    <w:rsid w:val="00025572"/>
    <w:rsid w:val="000277B0"/>
    <w:rsid w:val="00033AB2"/>
    <w:rsid w:val="0003659F"/>
    <w:rsid w:val="00042F86"/>
    <w:rsid w:val="0004319D"/>
    <w:rsid w:val="00043235"/>
    <w:rsid w:val="00056E5D"/>
    <w:rsid w:val="000600D0"/>
    <w:rsid w:val="00060249"/>
    <w:rsid w:val="00063991"/>
    <w:rsid w:val="00064F98"/>
    <w:rsid w:val="000655C0"/>
    <w:rsid w:val="00066DF8"/>
    <w:rsid w:val="00066F4F"/>
    <w:rsid w:val="00070088"/>
    <w:rsid w:val="0008308E"/>
    <w:rsid w:val="00084119"/>
    <w:rsid w:val="00084BEC"/>
    <w:rsid w:val="000912DF"/>
    <w:rsid w:val="00092826"/>
    <w:rsid w:val="00096018"/>
    <w:rsid w:val="000B556A"/>
    <w:rsid w:val="000B66EF"/>
    <w:rsid w:val="000C0258"/>
    <w:rsid w:val="000C0996"/>
    <w:rsid w:val="000C0BA9"/>
    <w:rsid w:val="000C0C3B"/>
    <w:rsid w:val="000C2B00"/>
    <w:rsid w:val="000E1DD6"/>
    <w:rsid w:val="000E2CB2"/>
    <w:rsid w:val="000E517D"/>
    <w:rsid w:val="000F3D83"/>
    <w:rsid w:val="001007F8"/>
    <w:rsid w:val="001049D9"/>
    <w:rsid w:val="00112C64"/>
    <w:rsid w:val="00112DC5"/>
    <w:rsid w:val="001145DD"/>
    <w:rsid w:val="00115456"/>
    <w:rsid w:val="00117BE6"/>
    <w:rsid w:val="00121E5B"/>
    <w:rsid w:val="00125AF2"/>
    <w:rsid w:val="00125E50"/>
    <w:rsid w:val="001267F0"/>
    <w:rsid w:val="00126EC4"/>
    <w:rsid w:val="00127022"/>
    <w:rsid w:val="001270EF"/>
    <w:rsid w:val="0013319D"/>
    <w:rsid w:val="00133B25"/>
    <w:rsid w:val="00134967"/>
    <w:rsid w:val="001440B6"/>
    <w:rsid w:val="00144D5B"/>
    <w:rsid w:val="00146427"/>
    <w:rsid w:val="0015005D"/>
    <w:rsid w:val="001659B3"/>
    <w:rsid w:val="001703E4"/>
    <w:rsid w:val="001705B7"/>
    <w:rsid w:val="00183FAE"/>
    <w:rsid w:val="001913B5"/>
    <w:rsid w:val="00196FA4"/>
    <w:rsid w:val="001A0F8B"/>
    <w:rsid w:val="001A2EA9"/>
    <w:rsid w:val="001B3531"/>
    <w:rsid w:val="001B60DB"/>
    <w:rsid w:val="001C3ECD"/>
    <w:rsid w:val="001C4E45"/>
    <w:rsid w:val="001C543A"/>
    <w:rsid w:val="001C66E6"/>
    <w:rsid w:val="001C6942"/>
    <w:rsid w:val="001D331C"/>
    <w:rsid w:val="001D6C63"/>
    <w:rsid w:val="001E6338"/>
    <w:rsid w:val="001E6E93"/>
    <w:rsid w:val="001F0A3C"/>
    <w:rsid w:val="001F2DAC"/>
    <w:rsid w:val="001F56CA"/>
    <w:rsid w:val="00203656"/>
    <w:rsid w:val="002057D3"/>
    <w:rsid w:val="00207DC3"/>
    <w:rsid w:val="00210CB0"/>
    <w:rsid w:val="0021130B"/>
    <w:rsid w:val="0021289C"/>
    <w:rsid w:val="00212D14"/>
    <w:rsid w:val="00220281"/>
    <w:rsid w:val="00222346"/>
    <w:rsid w:val="00223137"/>
    <w:rsid w:val="00223386"/>
    <w:rsid w:val="00227521"/>
    <w:rsid w:val="002300C5"/>
    <w:rsid w:val="00232044"/>
    <w:rsid w:val="002324BA"/>
    <w:rsid w:val="00247590"/>
    <w:rsid w:val="00254CCD"/>
    <w:rsid w:val="002621BD"/>
    <w:rsid w:val="00262552"/>
    <w:rsid w:val="00272550"/>
    <w:rsid w:val="0027484C"/>
    <w:rsid w:val="00276708"/>
    <w:rsid w:val="002772EC"/>
    <w:rsid w:val="00277B4A"/>
    <w:rsid w:val="00282664"/>
    <w:rsid w:val="00293471"/>
    <w:rsid w:val="00294199"/>
    <w:rsid w:val="002951A2"/>
    <w:rsid w:val="00295FB1"/>
    <w:rsid w:val="002A56AD"/>
    <w:rsid w:val="002B1168"/>
    <w:rsid w:val="002B11AF"/>
    <w:rsid w:val="002B2257"/>
    <w:rsid w:val="002B54B6"/>
    <w:rsid w:val="002C08A5"/>
    <w:rsid w:val="002C4FE7"/>
    <w:rsid w:val="002C6467"/>
    <w:rsid w:val="002C6DC2"/>
    <w:rsid w:val="002D0694"/>
    <w:rsid w:val="002D21DE"/>
    <w:rsid w:val="002D4653"/>
    <w:rsid w:val="002E6C20"/>
    <w:rsid w:val="002F347E"/>
    <w:rsid w:val="002F66B7"/>
    <w:rsid w:val="002F6BB3"/>
    <w:rsid w:val="002F7DAF"/>
    <w:rsid w:val="003025D4"/>
    <w:rsid w:val="00302FCA"/>
    <w:rsid w:val="003063AB"/>
    <w:rsid w:val="003125A7"/>
    <w:rsid w:val="003142D9"/>
    <w:rsid w:val="0032160D"/>
    <w:rsid w:val="00322B0E"/>
    <w:rsid w:val="003235C4"/>
    <w:rsid w:val="003247C5"/>
    <w:rsid w:val="003276C2"/>
    <w:rsid w:val="003301FA"/>
    <w:rsid w:val="00331A50"/>
    <w:rsid w:val="0033207B"/>
    <w:rsid w:val="003428A6"/>
    <w:rsid w:val="00343ED1"/>
    <w:rsid w:val="00344A91"/>
    <w:rsid w:val="003501B3"/>
    <w:rsid w:val="00355FF0"/>
    <w:rsid w:val="003576B1"/>
    <w:rsid w:val="00361E45"/>
    <w:rsid w:val="00364FFE"/>
    <w:rsid w:val="00371E5A"/>
    <w:rsid w:val="003729E2"/>
    <w:rsid w:val="00374736"/>
    <w:rsid w:val="00376BCB"/>
    <w:rsid w:val="003808DD"/>
    <w:rsid w:val="003848E7"/>
    <w:rsid w:val="00393720"/>
    <w:rsid w:val="0039778F"/>
    <w:rsid w:val="003A0EAD"/>
    <w:rsid w:val="003A1CEF"/>
    <w:rsid w:val="003A2617"/>
    <w:rsid w:val="003A4BF1"/>
    <w:rsid w:val="003A51C5"/>
    <w:rsid w:val="003A61FA"/>
    <w:rsid w:val="003B07E1"/>
    <w:rsid w:val="003B0C65"/>
    <w:rsid w:val="003B1186"/>
    <w:rsid w:val="003B16B2"/>
    <w:rsid w:val="003B19EC"/>
    <w:rsid w:val="003B2B2F"/>
    <w:rsid w:val="003B4193"/>
    <w:rsid w:val="003D1767"/>
    <w:rsid w:val="003D254A"/>
    <w:rsid w:val="003D3A44"/>
    <w:rsid w:val="003D3E55"/>
    <w:rsid w:val="003D4516"/>
    <w:rsid w:val="003E3689"/>
    <w:rsid w:val="003E731C"/>
    <w:rsid w:val="003E73FA"/>
    <w:rsid w:val="003E7EBC"/>
    <w:rsid w:val="003F36BA"/>
    <w:rsid w:val="003F3856"/>
    <w:rsid w:val="00403E3A"/>
    <w:rsid w:val="00420F8C"/>
    <w:rsid w:val="00425101"/>
    <w:rsid w:val="00427179"/>
    <w:rsid w:val="00432244"/>
    <w:rsid w:val="00437B38"/>
    <w:rsid w:val="00440253"/>
    <w:rsid w:val="004457B6"/>
    <w:rsid w:val="00450173"/>
    <w:rsid w:val="00453BF5"/>
    <w:rsid w:val="0045608D"/>
    <w:rsid w:val="00461803"/>
    <w:rsid w:val="004649F3"/>
    <w:rsid w:val="00471816"/>
    <w:rsid w:val="00476C5D"/>
    <w:rsid w:val="00477A76"/>
    <w:rsid w:val="00481E19"/>
    <w:rsid w:val="0048570A"/>
    <w:rsid w:val="00490204"/>
    <w:rsid w:val="0049566A"/>
    <w:rsid w:val="004973BD"/>
    <w:rsid w:val="004A1B18"/>
    <w:rsid w:val="004B1393"/>
    <w:rsid w:val="004B176A"/>
    <w:rsid w:val="004B2DD2"/>
    <w:rsid w:val="004B61D8"/>
    <w:rsid w:val="004B65D3"/>
    <w:rsid w:val="004C117B"/>
    <w:rsid w:val="004C2067"/>
    <w:rsid w:val="004C2F47"/>
    <w:rsid w:val="004C50A1"/>
    <w:rsid w:val="004E1C1B"/>
    <w:rsid w:val="004E1D88"/>
    <w:rsid w:val="004E64ED"/>
    <w:rsid w:val="004F1434"/>
    <w:rsid w:val="004F55B2"/>
    <w:rsid w:val="00501018"/>
    <w:rsid w:val="00503328"/>
    <w:rsid w:val="00503938"/>
    <w:rsid w:val="00510C3D"/>
    <w:rsid w:val="00515C7B"/>
    <w:rsid w:val="00526E61"/>
    <w:rsid w:val="00527E10"/>
    <w:rsid w:val="005319CA"/>
    <w:rsid w:val="005335BD"/>
    <w:rsid w:val="0053487F"/>
    <w:rsid w:val="00536C46"/>
    <w:rsid w:val="00541201"/>
    <w:rsid w:val="00542C71"/>
    <w:rsid w:val="00555BBB"/>
    <w:rsid w:val="00557E8D"/>
    <w:rsid w:val="005632F4"/>
    <w:rsid w:val="00567AFC"/>
    <w:rsid w:val="005708B5"/>
    <w:rsid w:val="00574D99"/>
    <w:rsid w:val="005842C0"/>
    <w:rsid w:val="00585B6B"/>
    <w:rsid w:val="005949CE"/>
    <w:rsid w:val="005973AC"/>
    <w:rsid w:val="005A562E"/>
    <w:rsid w:val="005B5BF1"/>
    <w:rsid w:val="005B7872"/>
    <w:rsid w:val="005C4873"/>
    <w:rsid w:val="005D09E7"/>
    <w:rsid w:val="005D35A8"/>
    <w:rsid w:val="005E1388"/>
    <w:rsid w:val="005E233A"/>
    <w:rsid w:val="005E3F9D"/>
    <w:rsid w:val="005E6E61"/>
    <w:rsid w:val="005F1A9A"/>
    <w:rsid w:val="005F31A6"/>
    <w:rsid w:val="005F5891"/>
    <w:rsid w:val="005F6833"/>
    <w:rsid w:val="0060321C"/>
    <w:rsid w:val="00606561"/>
    <w:rsid w:val="006072BD"/>
    <w:rsid w:val="00611EC7"/>
    <w:rsid w:val="00615793"/>
    <w:rsid w:val="00615F57"/>
    <w:rsid w:val="00626D0D"/>
    <w:rsid w:val="00631F44"/>
    <w:rsid w:val="00636015"/>
    <w:rsid w:val="006372BD"/>
    <w:rsid w:val="00640E2F"/>
    <w:rsid w:val="00641BF4"/>
    <w:rsid w:val="006437E2"/>
    <w:rsid w:val="00643E1C"/>
    <w:rsid w:val="006446E0"/>
    <w:rsid w:val="00654C6B"/>
    <w:rsid w:val="00654DAE"/>
    <w:rsid w:val="00655403"/>
    <w:rsid w:val="0065720D"/>
    <w:rsid w:val="0065773D"/>
    <w:rsid w:val="00664580"/>
    <w:rsid w:val="00667DE2"/>
    <w:rsid w:val="00675C8B"/>
    <w:rsid w:val="006777E8"/>
    <w:rsid w:val="00685401"/>
    <w:rsid w:val="00685C0F"/>
    <w:rsid w:val="006862B5"/>
    <w:rsid w:val="0069057C"/>
    <w:rsid w:val="00690F9B"/>
    <w:rsid w:val="006935B5"/>
    <w:rsid w:val="006965CB"/>
    <w:rsid w:val="006A31C0"/>
    <w:rsid w:val="006A445E"/>
    <w:rsid w:val="006A64E2"/>
    <w:rsid w:val="006B19E7"/>
    <w:rsid w:val="006B3D8C"/>
    <w:rsid w:val="006B46E1"/>
    <w:rsid w:val="006B5572"/>
    <w:rsid w:val="006B77A8"/>
    <w:rsid w:val="006C30A6"/>
    <w:rsid w:val="006C6C8F"/>
    <w:rsid w:val="006D27B3"/>
    <w:rsid w:val="006D374B"/>
    <w:rsid w:val="006D61F0"/>
    <w:rsid w:val="006E5DEA"/>
    <w:rsid w:val="006F2769"/>
    <w:rsid w:val="006F6104"/>
    <w:rsid w:val="006F66F8"/>
    <w:rsid w:val="007048E9"/>
    <w:rsid w:val="00706151"/>
    <w:rsid w:val="00711E50"/>
    <w:rsid w:val="00713B97"/>
    <w:rsid w:val="00722966"/>
    <w:rsid w:val="0072337F"/>
    <w:rsid w:val="00724DDF"/>
    <w:rsid w:val="00730E9F"/>
    <w:rsid w:val="007336FA"/>
    <w:rsid w:val="007440B6"/>
    <w:rsid w:val="007452B9"/>
    <w:rsid w:val="00752F62"/>
    <w:rsid w:val="0075705B"/>
    <w:rsid w:val="0075787F"/>
    <w:rsid w:val="00760FF4"/>
    <w:rsid w:val="00763929"/>
    <w:rsid w:val="0078050B"/>
    <w:rsid w:val="00783018"/>
    <w:rsid w:val="007854CD"/>
    <w:rsid w:val="00791449"/>
    <w:rsid w:val="007A1B2A"/>
    <w:rsid w:val="007A35B9"/>
    <w:rsid w:val="007A36AC"/>
    <w:rsid w:val="007A4AE5"/>
    <w:rsid w:val="007A7B90"/>
    <w:rsid w:val="007B0458"/>
    <w:rsid w:val="007B1CCA"/>
    <w:rsid w:val="007B58B8"/>
    <w:rsid w:val="007D03C4"/>
    <w:rsid w:val="007D3D25"/>
    <w:rsid w:val="007D710A"/>
    <w:rsid w:val="007E379C"/>
    <w:rsid w:val="007E7C1B"/>
    <w:rsid w:val="007F0EB2"/>
    <w:rsid w:val="007F1E45"/>
    <w:rsid w:val="007F2394"/>
    <w:rsid w:val="007F3F27"/>
    <w:rsid w:val="007F4D5F"/>
    <w:rsid w:val="007F6D4E"/>
    <w:rsid w:val="007F702B"/>
    <w:rsid w:val="0080144B"/>
    <w:rsid w:val="008025D7"/>
    <w:rsid w:val="00806AD9"/>
    <w:rsid w:val="00811648"/>
    <w:rsid w:val="00815690"/>
    <w:rsid w:val="00816472"/>
    <w:rsid w:val="00821D7C"/>
    <w:rsid w:val="00821DC2"/>
    <w:rsid w:val="00822511"/>
    <w:rsid w:val="00822790"/>
    <w:rsid w:val="008242A2"/>
    <w:rsid w:val="0083397D"/>
    <w:rsid w:val="00843CDC"/>
    <w:rsid w:val="00844CDA"/>
    <w:rsid w:val="008470F6"/>
    <w:rsid w:val="0085031C"/>
    <w:rsid w:val="00852649"/>
    <w:rsid w:val="00864933"/>
    <w:rsid w:val="0087024E"/>
    <w:rsid w:val="00874205"/>
    <w:rsid w:val="00877464"/>
    <w:rsid w:val="00883844"/>
    <w:rsid w:val="008847A8"/>
    <w:rsid w:val="00896012"/>
    <w:rsid w:val="008A5B7E"/>
    <w:rsid w:val="008A7CCD"/>
    <w:rsid w:val="008B132B"/>
    <w:rsid w:val="008B7EB4"/>
    <w:rsid w:val="008C7358"/>
    <w:rsid w:val="008D137D"/>
    <w:rsid w:val="008D1B76"/>
    <w:rsid w:val="008D446E"/>
    <w:rsid w:val="008F3C57"/>
    <w:rsid w:val="008F48A6"/>
    <w:rsid w:val="0091361E"/>
    <w:rsid w:val="00914BD5"/>
    <w:rsid w:val="00921DDC"/>
    <w:rsid w:val="00923A0D"/>
    <w:rsid w:val="0093072D"/>
    <w:rsid w:val="00933802"/>
    <w:rsid w:val="00933EDA"/>
    <w:rsid w:val="0094078C"/>
    <w:rsid w:val="00942297"/>
    <w:rsid w:val="00946B51"/>
    <w:rsid w:val="00947022"/>
    <w:rsid w:val="009567DF"/>
    <w:rsid w:val="00957BD7"/>
    <w:rsid w:val="00957CEC"/>
    <w:rsid w:val="00961530"/>
    <w:rsid w:val="009658F2"/>
    <w:rsid w:val="009705F0"/>
    <w:rsid w:val="0097408D"/>
    <w:rsid w:val="009806A1"/>
    <w:rsid w:val="00984CF1"/>
    <w:rsid w:val="00994AA5"/>
    <w:rsid w:val="0099617A"/>
    <w:rsid w:val="009A60BD"/>
    <w:rsid w:val="009B6D97"/>
    <w:rsid w:val="009C4079"/>
    <w:rsid w:val="009C47D7"/>
    <w:rsid w:val="009C77C1"/>
    <w:rsid w:val="009D2CED"/>
    <w:rsid w:val="009D3A45"/>
    <w:rsid w:val="009D6E5A"/>
    <w:rsid w:val="009E5D84"/>
    <w:rsid w:val="009F466D"/>
    <w:rsid w:val="00A02D9D"/>
    <w:rsid w:val="00A03238"/>
    <w:rsid w:val="00A04CF8"/>
    <w:rsid w:val="00A063AC"/>
    <w:rsid w:val="00A06653"/>
    <w:rsid w:val="00A075F3"/>
    <w:rsid w:val="00A07BED"/>
    <w:rsid w:val="00A12418"/>
    <w:rsid w:val="00A15346"/>
    <w:rsid w:val="00A20AC7"/>
    <w:rsid w:val="00A27423"/>
    <w:rsid w:val="00A36978"/>
    <w:rsid w:val="00A37A6D"/>
    <w:rsid w:val="00A42199"/>
    <w:rsid w:val="00A429C2"/>
    <w:rsid w:val="00A465A9"/>
    <w:rsid w:val="00A46AE3"/>
    <w:rsid w:val="00A516CB"/>
    <w:rsid w:val="00A562A9"/>
    <w:rsid w:val="00A6341F"/>
    <w:rsid w:val="00A65266"/>
    <w:rsid w:val="00A677A1"/>
    <w:rsid w:val="00A711FF"/>
    <w:rsid w:val="00A83639"/>
    <w:rsid w:val="00A83BE7"/>
    <w:rsid w:val="00A83EF4"/>
    <w:rsid w:val="00A859AA"/>
    <w:rsid w:val="00A94092"/>
    <w:rsid w:val="00AA4D3A"/>
    <w:rsid w:val="00AA7A91"/>
    <w:rsid w:val="00AA7C9B"/>
    <w:rsid w:val="00AC1577"/>
    <w:rsid w:val="00AC4B3B"/>
    <w:rsid w:val="00AC6A31"/>
    <w:rsid w:val="00AC76DE"/>
    <w:rsid w:val="00AC7AD9"/>
    <w:rsid w:val="00AD0A50"/>
    <w:rsid w:val="00AD116E"/>
    <w:rsid w:val="00AD19EB"/>
    <w:rsid w:val="00AD71B4"/>
    <w:rsid w:val="00AD7F09"/>
    <w:rsid w:val="00AE4231"/>
    <w:rsid w:val="00AE4E72"/>
    <w:rsid w:val="00AE6563"/>
    <w:rsid w:val="00AF25A8"/>
    <w:rsid w:val="00AF5BBF"/>
    <w:rsid w:val="00AF6C4E"/>
    <w:rsid w:val="00AF7A19"/>
    <w:rsid w:val="00B04FEA"/>
    <w:rsid w:val="00B06B34"/>
    <w:rsid w:val="00B11FBD"/>
    <w:rsid w:val="00B14587"/>
    <w:rsid w:val="00B16A81"/>
    <w:rsid w:val="00B20120"/>
    <w:rsid w:val="00B23558"/>
    <w:rsid w:val="00B24A78"/>
    <w:rsid w:val="00B26ABC"/>
    <w:rsid w:val="00B40A33"/>
    <w:rsid w:val="00B42511"/>
    <w:rsid w:val="00B428BD"/>
    <w:rsid w:val="00B430AD"/>
    <w:rsid w:val="00B450D4"/>
    <w:rsid w:val="00B46432"/>
    <w:rsid w:val="00B47ED0"/>
    <w:rsid w:val="00B52107"/>
    <w:rsid w:val="00B532F3"/>
    <w:rsid w:val="00B53502"/>
    <w:rsid w:val="00B5726E"/>
    <w:rsid w:val="00B57B3E"/>
    <w:rsid w:val="00B60DD1"/>
    <w:rsid w:val="00B63795"/>
    <w:rsid w:val="00B65D0F"/>
    <w:rsid w:val="00B71A58"/>
    <w:rsid w:val="00B75692"/>
    <w:rsid w:val="00B779F4"/>
    <w:rsid w:val="00B813F6"/>
    <w:rsid w:val="00B87FED"/>
    <w:rsid w:val="00B91289"/>
    <w:rsid w:val="00B936F3"/>
    <w:rsid w:val="00B9585E"/>
    <w:rsid w:val="00BA0D0A"/>
    <w:rsid w:val="00BB5D1A"/>
    <w:rsid w:val="00BB65DF"/>
    <w:rsid w:val="00BC4F8B"/>
    <w:rsid w:val="00BC5519"/>
    <w:rsid w:val="00BD0087"/>
    <w:rsid w:val="00BD1687"/>
    <w:rsid w:val="00BD2C93"/>
    <w:rsid w:val="00BD3E04"/>
    <w:rsid w:val="00BD60E6"/>
    <w:rsid w:val="00BE029B"/>
    <w:rsid w:val="00BE0935"/>
    <w:rsid w:val="00BE1A43"/>
    <w:rsid w:val="00BE498F"/>
    <w:rsid w:val="00BE5655"/>
    <w:rsid w:val="00BE5B94"/>
    <w:rsid w:val="00BF0858"/>
    <w:rsid w:val="00BF271A"/>
    <w:rsid w:val="00BF6A9E"/>
    <w:rsid w:val="00BF70EF"/>
    <w:rsid w:val="00C03F0D"/>
    <w:rsid w:val="00C12098"/>
    <w:rsid w:val="00C125FD"/>
    <w:rsid w:val="00C1414A"/>
    <w:rsid w:val="00C17BE7"/>
    <w:rsid w:val="00C2553D"/>
    <w:rsid w:val="00C27350"/>
    <w:rsid w:val="00C2750E"/>
    <w:rsid w:val="00C430E5"/>
    <w:rsid w:val="00C55C6C"/>
    <w:rsid w:val="00C60BCF"/>
    <w:rsid w:val="00C65883"/>
    <w:rsid w:val="00C662B2"/>
    <w:rsid w:val="00C66E50"/>
    <w:rsid w:val="00C67AC3"/>
    <w:rsid w:val="00C71DC6"/>
    <w:rsid w:val="00C726A7"/>
    <w:rsid w:val="00C7301F"/>
    <w:rsid w:val="00C73926"/>
    <w:rsid w:val="00C7478D"/>
    <w:rsid w:val="00C82247"/>
    <w:rsid w:val="00C8450D"/>
    <w:rsid w:val="00C91F5B"/>
    <w:rsid w:val="00C93254"/>
    <w:rsid w:val="00C94A22"/>
    <w:rsid w:val="00CB3297"/>
    <w:rsid w:val="00CB6250"/>
    <w:rsid w:val="00CC3DD6"/>
    <w:rsid w:val="00CC5F5D"/>
    <w:rsid w:val="00CD11AB"/>
    <w:rsid w:val="00CD6924"/>
    <w:rsid w:val="00CD69C3"/>
    <w:rsid w:val="00CE03C9"/>
    <w:rsid w:val="00CE131A"/>
    <w:rsid w:val="00CF341B"/>
    <w:rsid w:val="00D0212E"/>
    <w:rsid w:val="00D1769B"/>
    <w:rsid w:val="00D20157"/>
    <w:rsid w:val="00D21412"/>
    <w:rsid w:val="00D235E5"/>
    <w:rsid w:val="00D30014"/>
    <w:rsid w:val="00D30BCD"/>
    <w:rsid w:val="00D310C5"/>
    <w:rsid w:val="00D332FA"/>
    <w:rsid w:val="00D3363A"/>
    <w:rsid w:val="00D34C9F"/>
    <w:rsid w:val="00D36ADF"/>
    <w:rsid w:val="00D463A7"/>
    <w:rsid w:val="00D541AE"/>
    <w:rsid w:val="00D54F66"/>
    <w:rsid w:val="00D561A3"/>
    <w:rsid w:val="00D61260"/>
    <w:rsid w:val="00D62DA8"/>
    <w:rsid w:val="00D65837"/>
    <w:rsid w:val="00D662AC"/>
    <w:rsid w:val="00D667DE"/>
    <w:rsid w:val="00D75C2F"/>
    <w:rsid w:val="00D803BA"/>
    <w:rsid w:val="00D81C26"/>
    <w:rsid w:val="00D83044"/>
    <w:rsid w:val="00D845D1"/>
    <w:rsid w:val="00D923B1"/>
    <w:rsid w:val="00D9299F"/>
    <w:rsid w:val="00D9443B"/>
    <w:rsid w:val="00DA017F"/>
    <w:rsid w:val="00DA0CD9"/>
    <w:rsid w:val="00DA3D2A"/>
    <w:rsid w:val="00DA45D3"/>
    <w:rsid w:val="00DB12C1"/>
    <w:rsid w:val="00DB14FD"/>
    <w:rsid w:val="00DB3072"/>
    <w:rsid w:val="00DB31F4"/>
    <w:rsid w:val="00DB3387"/>
    <w:rsid w:val="00DC3A7D"/>
    <w:rsid w:val="00DC3F4E"/>
    <w:rsid w:val="00DE0EDC"/>
    <w:rsid w:val="00DE3076"/>
    <w:rsid w:val="00DF6905"/>
    <w:rsid w:val="00DF78B8"/>
    <w:rsid w:val="00E01047"/>
    <w:rsid w:val="00E02842"/>
    <w:rsid w:val="00E03129"/>
    <w:rsid w:val="00E03F1A"/>
    <w:rsid w:val="00E06656"/>
    <w:rsid w:val="00E1259B"/>
    <w:rsid w:val="00E2057D"/>
    <w:rsid w:val="00E215DD"/>
    <w:rsid w:val="00E229CB"/>
    <w:rsid w:val="00E31E5C"/>
    <w:rsid w:val="00E3220B"/>
    <w:rsid w:val="00E36DBA"/>
    <w:rsid w:val="00E40522"/>
    <w:rsid w:val="00E414A6"/>
    <w:rsid w:val="00E625B4"/>
    <w:rsid w:val="00E629C4"/>
    <w:rsid w:val="00E6387F"/>
    <w:rsid w:val="00E65095"/>
    <w:rsid w:val="00E66677"/>
    <w:rsid w:val="00E72509"/>
    <w:rsid w:val="00E75884"/>
    <w:rsid w:val="00E85EE2"/>
    <w:rsid w:val="00E91860"/>
    <w:rsid w:val="00E92070"/>
    <w:rsid w:val="00E92548"/>
    <w:rsid w:val="00E955FF"/>
    <w:rsid w:val="00E95B67"/>
    <w:rsid w:val="00EA24DE"/>
    <w:rsid w:val="00EB0CDC"/>
    <w:rsid w:val="00EB416E"/>
    <w:rsid w:val="00EB60F2"/>
    <w:rsid w:val="00EC29EC"/>
    <w:rsid w:val="00EC34A0"/>
    <w:rsid w:val="00ED1AD3"/>
    <w:rsid w:val="00ED3BDB"/>
    <w:rsid w:val="00ED487E"/>
    <w:rsid w:val="00F04441"/>
    <w:rsid w:val="00F062B5"/>
    <w:rsid w:val="00F074DA"/>
    <w:rsid w:val="00F10CB5"/>
    <w:rsid w:val="00F140B1"/>
    <w:rsid w:val="00F150DC"/>
    <w:rsid w:val="00F17879"/>
    <w:rsid w:val="00F268D1"/>
    <w:rsid w:val="00F312DE"/>
    <w:rsid w:val="00F3435D"/>
    <w:rsid w:val="00F45614"/>
    <w:rsid w:val="00F57AE9"/>
    <w:rsid w:val="00F57C23"/>
    <w:rsid w:val="00F61E34"/>
    <w:rsid w:val="00F624A8"/>
    <w:rsid w:val="00F667B4"/>
    <w:rsid w:val="00F710B5"/>
    <w:rsid w:val="00F71832"/>
    <w:rsid w:val="00F81213"/>
    <w:rsid w:val="00FA4530"/>
    <w:rsid w:val="00FB45DA"/>
    <w:rsid w:val="00FB47A2"/>
    <w:rsid w:val="00FC01E0"/>
    <w:rsid w:val="00FC3E68"/>
    <w:rsid w:val="00FE0B7D"/>
    <w:rsid w:val="00FE0FE9"/>
    <w:rsid w:val="00FE255E"/>
    <w:rsid w:val="00FE4B46"/>
    <w:rsid w:val="00FE5DD8"/>
    <w:rsid w:val="00FE614B"/>
    <w:rsid w:val="00FF2272"/>
    <w:rsid w:val="00FF56A8"/>
    <w:rsid w:val="00FF7C4C"/>
    <w:rsid w:val="0FEF7A9A"/>
    <w:rsid w:val="28863BEF"/>
    <w:rsid w:val="288D64B0"/>
    <w:rsid w:val="37824373"/>
    <w:rsid w:val="40C67741"/>
    <w:rsid w:val="46CD5258"/>
    <w:rsid w:val="565A053D"/>
    <w:rsid w:val="64C86743"/>
    <w:rsid w:val="72BF19FC"/>
    <w:rsid w:val="784A7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348"/>
        <o:r id="V:Rule2" type="connector" idref="#直接连接符 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0"/>
    <w:pPr>
      <w:keepNext/>
      <w:keepLines/>
      <w:spacing w:before="260" w:after="260" w:line="413" w:lineRule="auto"/>
      <w:outlineLvl w:val="2"/>
    </w:pPr>
    <w:rPr>
      <w:rFonts w:ascii="Times New Roman" w:hAnsi="Times New Roman" w:eastAsia="宋体" w:cs="Times New Roman"/>
      <w:b/>
      <w:kern w:val="0"/>
      <w:sz w:val="32"/>
      <w:szCs w:val="20"/>
    </w:rPr>
  </w:style>
  <w:style w:type="paragraph" w:styleId="5">
    <w:name w:val="heading 4"/>
    <w:basedOn w:val="1"/>
    <w:next w:val="1"/>
    <w:link w:val="35"/>
    <w:semiHidden/>
    <w:unhideWhenUsed/>
    <w:qFormat/>
    <w:uiPriority w:val="0"/>
    <w:pPr>
      <w:keepNext/>
      <w:keepLines/>
      <w:spacing w:before="280" w:after="290" w:line="372" w:lineRule="auto"/>
      <w:outlineLvl w:val="3"/>
    </w:pPr>
    <w:rPr>
      <w:rFonts w:ascii="Arial" w:hAnsi="Arial" w:eastAsia="黑体" w:cs="Times New Roman"/>
      <w:b/>
      <w:sz w:val="28"/>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spacing w:line="240" w:lineRule="auto"/>
      <w:ind w:left="2520" w:leftChars="1200"/>
    </w:pPr>
    <w:rPr>
      <w:rFonts w:ascii="Times New Roman" w:hAnsi="Times New Roman" w:eastAsia="宋体" w:cs="Times New Roman"/>
      <w:szCs w:val="24"/>
    </w:rPr>
  </w:style>
  <w:style w:type="paragraph" w:styleId="7">
    <w:name w:val="Document Map"/>
    <w:basedOn w:val="1"/>
    <w:link w:val="46"/>
    <w:unhideWhenUsed/>
    <w:qFormat/>
    <w:uiPriority w:val="0"/>
    <w:pPr>
      <w:shd w:val="clear" w:color="auto" w:fill="000080"/>
      <w:spacing w:line="240" w:lineRule="auto"/>
    </w:pPr>
    <w:rPr>
      <w:rFonts w:ascii="Times New Roman" w:hAnsi="Times New Roman" w:eastAsia="宋体" w:cs="Times New Roman"/>
      <w:szCs w:val="24"/>
    </w:rPr>
  </w:style>
  <w:style w:type="paragraph" w:styleId="8">
    <w:name w:val="Body Text"/>
    <w:basedOn w:val="1"/>
    <w:link w:val="42"/>
    <w:unhideWhenUsed/>
    <w:qFormat/>
    <w:uiPriority w:val="0"/>
    <w:pPr>
      <w:spacing w:after="120" w:line="240" w:lineRule="auto"/>
    </w:pPr>
    <w:rPr>
      <w:rFonts w:ascii="Times New Roman" w:hAnsi="Times New Roman" w:eastAsia="宋体" w:cs="Times New Roman"/>
      <w:szCs w:val="24"/>
    </w:rPr>
  </w:style>
  <w:style w:type="paragraph" w:styleId="9">
    <w:name w:val="Body Text Indent"/>
    <w:basedOn w:val="1"/>
    <w:link w:val="43"/>
    <w:unhideWhenUsed/>
    <w:qFormat/>
    <w:uiPriority w:val="0"/>
    <w:pPr>
      <w:spacing w:after="120" w:line="240" w:lineRule="auto"/>
      <w:ind w:left="420" w:leftChars="200"/>
    </w:pPr>
    <w:rPr>
      <w:rFonts w:ascii="Times New Roman" w:hAnsi="Times New Roman" w:eastAsia="宋体" w:cs="Times New Roman"/>
      <w:szCs w:val="24"/>
    </w:rPr>
  </w:style>
  <w:style w:type="paragraph" w:styleId="10">
    <w:name w:val="toc 5"/>
    <w:basedOn w:val="1"/>
    <w:next w:val="1"/>
    <w:qFormat/>
    <w:uiPriority w:val="0"/>
    <w:pPr>
      <w:spacing w:line="240" w:lineRule="auto"/>
      <w:ind w:left="1680" w:leftChars="800"/>
    </w:pPr>
    <w:rPr>
      <w:rFonts w:ascii="Times New Roman" w:hAnsi="Times New Roman" w:eastAsia="宋体" w:cs="Times New Roman"/>
      <w:szCs w:val="24"/>
    </w:rPr>
  </w:style>
  <w:style w:type="paragraph" w:styleId="11">
    <w:name w:val="toc 3"/>
    <w:basedOn w:val="1"/>
    <w:next w:val="1"/>
    <w:unhideWhenUsed/>
    <w:qFormat/>
    <w:uiPriority w:val="39"/>
    <w:pPr>
      <w:tabs>
        <w:tab w:val="right" w:leader="dot" w:pos="8958"/>
      </w:tabs>
      <w:adjustRightInd w:val="0"/>
      <w:snapToGrid w:val="0"/>
      <w:spacing w:line="400" w:lineRule="exact"/>
      <w:ind w:firstLine="643" w:firstLineChars="200"/>
      <w:jc w:val="center"/>
    </w:pPr>
    <w:rPr>
      <w:rFonts w:ascii="Times New Roman" w:hAnsi="Times New Roman" w:eastAsia="宋体" w:cs="Times New Roman"/>
      <w:szCs w:val="32"/>
    </w:rPr>
  </w:style>
  <w:style w:type="paragraph" w:styleId="12">
    <w:name w:val="Plain Text"/>
    <w:basedOn w:val="1"/>
    <w:link w:val="47"/>
    <w:unhideWhenUsed/>
    <w:qFormat/>
    <w:uiPriority w:val="0"/>
    <w:pPr>
      <w:adjustRightInd w:val="0"/>
      <w:spacing w:line="240" w:lineRule="auto"/>
    </w:pPr>
    <w:rPr>
      <w:rFonts w:ascii="宋体" w:hAnsi="Times New Roman" w:eastAsia="宋体" w:cs="Times New Roman"/>
      <w:kern w:val="0"/>
      <w:sz w:val="15"/>
      <w:szCs w:val="20"/>
    </w:rPr>
  </w:style>
  <w:style w:type="paragraph" w:styleId="13">
    <w:name w:val="toc 8"/>
    <w:basedOn w:val="1"/>
    <w:next w:val="1"/>
    <w:qFormat/>
    <w:uiPriority w:val="0"/>
    <w:pPr>
      <w:spacing w:line="240" w:lineRule="auto"/>
      <w:ind w:left="2940" w:leftChars="1400"/>
    </w:pPr>
    <w:rPr>
      <w:rFonts w:ascii="Times New Roman" w:hAnsi="Times New Roman" w:eastAsia="宋体" w:cs="Times New Roman"/>
      <w:szCs w:val="24"/>
    </w:rPr>
  </w:style>
  <w:style w:type="paragraph" w:styleId="14">
    <w:name w:val="Date"/>
    <w:basedOn w:val="1"/>
    <w:next w:val="1"/>
    <w:link w:val="44"/>
    <w:unhideWhenUsed/>
    <w:qFormat/>
    <w:uiPriority w:val="0"/>
    <w:pPr>
      <w:spacing w:line="240" w:lineRule="auto"/>
      <w:ind w:left="100" w:leftChars="2500"/>
    </w:pPr>
    <w:rPr>
      <w:rFonts w:ascii="仿宋_GB2312" w:hAnsi="宋体" w:eastAsia="仿宋_GB2312" w:cs="Times New Roman"/>
      <w:color w:val="000000"/>
      <w:sz w:val="28"/>
      <w:szCs w:val="28"/>
    </w:rPr>
  </w:style>
  <w:style w:type="paragraph" w:styleId="15">
    <w:name w:val="Balloon Text"/>
    <w:basedOn w:val="1"/>
    <w:link w:val="48"/>
    <w:unhideWhenUsed/>
    <w:qFormat/>
    <w:uiPriority w:val="0"/>
    <w:pPr>
      <w:spacing w:line="240" w:lineRule="auto"/>
    </w:pPr>
    <w:rPr>
      <w:rFonts w:ascii="Times New Roman" w:hAnsi="Times New Roman" w:eastAsia="宋体" w:cs="Times New Roman"/>
      <w:sz w:val="18"/>
      <w:szCs w:val="18"/>
    </w:rPr>
  </w:style>
  <w:style w:type="paragraph" w:styleId="16">
    <w:name w:val="footer"/>
    <w:basedOn w:val="1"/>
    <w:link w:val="37"/>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line="240" w:lineRule="auto"/>
    </w:pPr>
    <w:rPr>
      <w:rFonts w:ascii="Times New Roman" w:hAnsi="Times New Roman" w:eastAsia="宋体" w:cs="Times New Roman"/>
      <w:szCs w:val="24"/>
    </w:rPr>
  </w:style>
  <w:style w:type="paragraph" w:styleId="19">
    <w:name w:val="toc 4"/>
    <w:basedOn w:val="1"/>
    <w:next w:val="1"/>
    <w:qFormat/>
    <w:uiPriority w:val="0"/>
    <w:pPr>
      <w:spacing w:line="240" w:lineRule="auto"/>
      <w:ind w:left="1260" w:leftChars="600"/>
    </w:pPr>
    <w:rPr>
      <w:rFonts w:ascii="Times New Roman" w:hAnsi="Times New Roman" w:eastAsia="宋体" w:cs="Times New Roman"/>
      <w:szCs w:val="24"/>
    </w:rPr>
  </w:style>
  <w:style w:type="paragraph" w:styleId="20">
    <w:name w:val="toc 6"/>
    <w:basedOn w:val="1"/>
    <w:next w:val="1"/>
    <w:qFormat/>
    <w:uiPriority w:val="0"/>
    <w:pPr>
      <w:spacing w:line="240" w:lineRule="auto"/>
      <w:ind w:left="2100" w:leftChars="1000"/>
    </w:pPr>
    <w:rPr>
      <w:rFonts w:ascii="Times New Roman" w:hAnsi="Times New Roman" w:eastAsia="宋体" w:cs="Times New Roman"/>
      <w:szCs w:val="24"/>
    </w:rPr>
  </w:style>
  <w:style w:type="paragraph" w:styleId="21">
    <w:name w:val="Body Text Indent 3"/>
    <w:basedOn w:val="1"/>
    <w:link w:val="45"/>
    <w:unhideWhenUsed/>
    <w:qFormat/>
    <w:uiPriority w:val="0"/>
    <w:pPr>
      <w:spacing w:after="120" w:line="240" w:lineRule="auto"/>
      <w:ind w:left="420" w:leftChars="200"/>
    </w:pPr>
    <w:rPr>
      <w:rFonts w:ascii="Times New Roman" w:hAnsi="Times New Roman" w:eastAsia="宋体" w:cs="Times New Roman"/>
      <w:sz w:val="16"/>
      <w:szCs w:val="16"/>
    </w:rPr>
  </w:style>
  <w:style w:type="paragraph" w:styleId="22">
    <w:name w:val="toc 2"/>
    <w:basedOn w:val="1"/>
    <w:next w:val="1"/>
    <w:qFormat/>
    <w:uiPriority w:val="0"/>
    <w:pPr>
      <w:spacing w:line="240" w:lineRule="auto"/>
      <w:ind w:left="420" w:leftChars="200"/>
    </w:pPr>
    <w:rPr>
      <w:rFonts w:ascii="Times New Roman" w:hAnsi="Times New Roman" w:eastAsia="宋体" w:cs="Times New Roman"/>
      <w:szCs w:val="24"/>
    </w:rPr>
  </w:style>
  <w:style w:type="paragraph" w:styleId="23">
    <w:name w:val="toc 9"/>
    <w:basedOn w:val="1"/>
    <w:next w:val="1"/>
    <w:qFormat/>
    <w:uiPriority w:val="0"/>
    <w:pPr>
      <w:spacing w:line="240" w:lineRule="auto"/>
      <w:ind w:left="3360" w:leftChars="1600"/>
    </w:pPr>
    <w:rPr>
      <w:rFonts w:ascii="Times New Roman" w:hAnsi="Times New Roman" w:eastAsia="宋体" w:cs="Times New Roman"/>
      <w:szCs w:val="24"/>
    </w:rPr>
  </w:style>
  <w:style w:type="paragraph" w:styleId="24">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26">
    <w:name w:val="Table Grid"/>
    <w:basedOn w:val="25"/>
    <w:qFormat/>
    <w:uiPriority w:val="0"/>
    <w:pPr>
      <w:widowControl w:val="0"/>
      <w:spacing w:line="240" w:lineRule="exact"/>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semiHidden/>
    <w:unhideWhenUsed/>
    <w:qFormat/>
    <w:uiPriority w:val="99"/>
    <w:rPr>
      <w:color w:val="800080" w:themeColor="followedHyperlink"/>
      <w:u w:val="single"/>
    </w:rPr>
  </w:style>
  <w:style w:type="character" w:styleId="31">
    <w:name w:val="Hyperlink"/>
    <w:basedOn w:val="27"/>
    <w:qFormat/>
    <w:uiPriority w:val="99"/>
    <w:rPr>
      <w:color w:val="0000FF"/>
      <w:u w:val="single"/>
    </w:rPr>
  </w:style>
  <w:style w:type="character" w:customStyle="1" w:styleId="32">
    <w:name w:val="标题 2 Char"/>
    <w:basedOn w:val="27"/>
    <w:link w:val="3"/>
    <w:qFormat/>
    <w:uiPriority w:val="0"/>
    <w:rPr>
      <w:rFonts w:ascii="Cambria" w:hAnsi="Cambria" w:eastAsia="宋体" w:cs="Times New Roman"/>
      <w:b/>
      <w:bCs/>
      <w:sz w:val="32"/>
      <w:szCs w:val="32"/>
    </w:rPr>
  </w:style>
  <w:style w:type="character" w:customStyle="1" w:styleId="33">
    <w:name w:val="标题 1 Char"/>
    <w:basedOn w:val="27"/>
    <w:link w:val="2"/>
    <w:qFormat/>
    <w:uiPriority w:val="9"/>
    <w:rPr>
      <w:b/>
      <w:bCs/>
      <w:kern w:val="44"/>
      <w:sz w:val="44"/>
      <w:szCs w:val="44"/>
    </w:rPr>
  </w:style>
  <w:style w:type="character" w:customStyle="1" w:styleId="34">
    <w:name w:val="标题 3 Char"/>
    <w:basedOn w:val="27"/>
    <w:link w:val="4"/>
    <w:qFormat/>
    <w:uiPriority w:val="0"/>
    <w:rPr>
      <w:rFonts w:ascii="Times New Roman" w:hAnsi="Times New Roman" w:eastAsia="宋体" w:cs="Times New Roman"/>
      <w:b/>
      <w:kern w:val="0"/>
      <w:sz w:val="32"/>
      <w:szCs w:val="20"/>
    </w:rPr>
  </w:style>
  <w:style w:type="character" w:customStyle="1" w:styleId="35">
    <w:name w:val="标题 4 Char"/>
    <w:basedOn w:val="27"/>
    <w:link w:val="5"/>
    <w:semiHidden/>
    <w:qFormat/>
    <w:uiPriority w:val="0"/>
    <w:rPr>
      <w:rFonts w:ascii="Arial" w:hAnsi="Arial" w:eastAsia="黑体" w:cs="Times New Roman"/>
      <w:b/>
      <w:sz w:val="28"/>
      <w:szCs w:val="24"/>
    </w:rPr>
  </w:style>
  <w:style w:type="character" w:customStyle="1" w:styleId="36">
    <w:name w:val="页眉 Char"/>
    <w:basedOn w:val="27"/>
    <w:link w:val="17"/>
    <w:qFormat/>
    <w:uiPriority w:val="0"/>
    <w:rPr>
      <w:sz w:val="18"/>
      <w:szCs w:val="18"/>
    </w:rPr>
  </w:style>
  <w:style w:type="character" w:customStyle="1" w:styleId="37">
    <w:name w:val="页脚 Char"/>
    <w:basedOn w:val="27"/>
    <w:link w:val="16"/>
    <w:qFormat/>
    <w:uiPriority w:val="0"/>
    <w:rPr>
      <w:sz w:val="18"/>
      <w:szCs w:val="18"/>
    </w:rPr>
  </w:style>
  <w:style w:type="paragraph" w:styleId="38">
    <w:name w:val="List Paragraph"/>
    <w:basedOn w:val="1"/>
    <w:qFormat/>
    <w:uiPriority w:val="34"/>
    <w:pPr>
      <w:spacing w:line="240" w:lineRule="auto"/>
      <w:ind w:firstLine="420" w:firstLineChars="200"/>
    </w:pPr>
  </w:style>
  <w:style w:type="paragraph" w:customStyle="1" w:styleId="39">
    <w:name w:val="Char1"/>
    <w:basedOn w:val="1"/>
    <w:qFormat/>
    <w:uiPriority w:val="0"/>
    <w:pPr>
      <w:widowControl/>
      <w:spacing w:after="160"/>
      <w:jc w:val="left"/>
    </w:pPr>
    <w:rPr>
      <w:rFonts w:ascii="Verdana" w:hAnsi="Verdana" w:eastAsia="宋体" w:cs="Verdana"/>
      <w:kern w:val="0"/>
      <w:sz w:val="20"/>
      <w:szCs w:val="20"/>
      <w:lang w:eastAsia="en-US"/>
    </w:rPr>
  </w:style>
  <w:style w:type="character" w:customStyle="1" w:styleId="40">
    <w:name w:val="表内容 Char"/>
    <w:basedOn w:val="27"/>
    <w:link w:val="41"/>
    <w:qFormat/>
    <w:locked/>
    <w:uiPriority w:val="0"/>
    <w:rPr>
      <w:sz w:val="18"/>
      <w:szCs w:val="18"/>
    </w:rPr>
  </w:style>
  <w:style w:type="paragraph" w:customStyle="1" w:styleId="41">
    <w:name w:val="表内容"/>
    <w:basedOn w:val="1"/>
    <w:link w:val="40"/>
    <w:qFormat/>
    <w:uiPriority w:val="0"/>
    <w:pPr>
      <w:autoSpaceDE w:val="0"/>
      <w:autoSpaceDN w:val="0"/>
      <w:adjustRightInd w:val="0"/>
      <w:spacing w:line="310" w:lineRule="atLeast"/>
      <w:jc w:val="center"/>
    </w:pPr>
    <w:rPr>
      <w:sz w:val="18"/>
      <w:szCs w:val="18"/>
    </w:rPr>
  </w:style>
  <w:style w:type="character" w:customStyle="1" w:styleId="42">
    <w:name w:val="正文文本 Char"/>
    <w:basedOn w:val="27"/>
    <w:link w:val="8"/>
    <w:qFormat/>
    <w:uiPriority w:val="0"/>
    <w:rPr>
      <w:rFonts w:ascii="Times New Roman" w:hAnsi="Times New Roman" w:eastAsia="宋体" w:cs="Times New Roman"/>
      <w:szCs w:val="24"/>
    </w:rPr>
  </w:style>
  <w:style w:type="character" w:customStyle="1" w:styleId="43">
    <w:name w:val="正文文本缩进 Char"/>
    <w:basedOn w:val="27"/>
    <w:link w:val="9"/>
    <w:qFormat/>
    <w:uiPriority w:val="0"/>
    <w:rPr>
      <w:rFonts w:ascii="Times New Roman" w:hAnsi="Times New Roman" w:eastAsia="宋体" w:cs="Times New Roman"/>
      <w:szCs w:val="24"/>
    </w:rPr>
  </w:style>
  <w:style w:type="character" w:customStyle="1" w:styleId="44">
    <w:name w:val="日期 Char"/>
    <w:basedOn w:val="27"/>
    <w:link w:val="14"/>
    <w:qFormat/>
    <w:uiPriority w:val="0"/>
    <w:rPr>
      <w:rFonts w:ascii="仿宋_GB2312" w:hAnsi="宋体" w:eastAsia="仿宋_GB2312" w:cs="Times New Roman"/>
      <w:color w:val="000000"/>
      <w:sz w:val="28"/>
      <w:szCs w:val="28"/>
    </w:rPr>
  </w:style>
  <w:style w:type="character" w:customStyle="1" w:styleId="45">
    <w:name w:val="正文文本缩进 3 Char"/>
    <w:basedOn w:val="27"/>
    <w:link w:val="21"/>
    <w:qFormat/>
    <w:uiPriority w:val="0"/>
    <w:rPr>
      <w:rFonts w:ascii="Times New Roman" w:hAnsi="Times New Roman" w:eastAsia="宋体" w:cs="Times New Roman"/>
      <w:sz w:val="16"/>
      <w:szCs w:val="16"/>
    </w:rPr>
  </w:style>
  <w:style w:type="character" w:customStyle="1" w:styleId="46">
    <w:name w:val="文档结构图 Char"/>
    <w:basedOn w:val="27"/>
    <w:link w:val="7"/>
    <w:qFormat/>
    <w:uiPriority w:val="0"/>
    <w:rPr>
      <w:rFonts w:ascii="Times New Roman" w:hAnsi="Times New Roman" w:eastAsia="宋体" w:cs="Times New Roman"/>
      <w:szCs w:val="24"/>
      <w:shd w:val="clear" w:color="auto" w:fill="000080"/>
    </w:rPr>
  </w:style>
  <w:style w:type="character" w:customStyle="1" w:styleId="47">
    <w:name w:val="纯文本 Char"/>
    <w:basedOn w:val="27"/>
    <w:link w:val="12"/>
    <w:qFormat/>
    <w:uiPriority w:val="0"/>
    <w:rPr>
      <w:rFonts w:ascii="宋体" w:hAnsi="Times New Roman" w:eastAsia="宋体" w:cs="Times New Roman"/>
      <w:kern w:val="0"/>
      <w:sz w:val="15"/>
      <w:szCs w:val="20"/>
    </w:rPr>
  </w:style>
  <w:style w:type="character" w:customStyle="1" w:styleId="48">
    <w:name w:val="批注框文本 Char"/>
    <w:basedOn w:val="27"/>
    <w:link w:val="15"/>
    <w:qFormat/>
    <w:uiPriority w:val="0"/>
    <w:rPr>
      <w:rFonts w:ascii="Times New Roman" w:hAnsi="Times New Roman" w:eastAsia="宋体" w:cs="Times New Roman"/>
      <w:sz w:val="18"/>
      <w:szCs w:val="18"/>
    </w:rPr>
  </w:style>
  <w:style w:type="paragraph" w:customStyle="1" w:styleId="49">
    <w:name w:val="样式1"/>
    <w:basedOn w:val="1"/>
    <w:qFormat/>
    <w:uiPriority w:val="0"/>
    <w:pPr>
      <w:spacing w:line="240" w:lineRule="auto"/>
    </w:pPr>
    <w:rPr>
      <w:rFonts w:ascii="Times New Roman" w:hAnsi="Times New Roman" w:eastAsia="宋体" w:cs="Times New Roman"/>
      <w:szCs w:val="24"/>
    </w:rPr>
  </w:style>
  <w:style w:type="paragraph" w:customStyle="1" w:styleId="50">
    <w:name w:val="小节标题"/>
    <w:basedOn w:val="1"/>
    <w:next w:val="1"/>
    <w:qFormat/>
    <w:uiPriority w:val="0"/>
    <w:pPr>
      <w:widowControl/>
      <w:spacing w:before="175" w:after="102" w:line="566" w:lineRule="atLeast"/>
    </w:pPr>
    <w:rPr>
      <w:rFonts w:ascii="Times New Roman" w:hAnsi="Times New Roman" w:eastAsia="黑体" w:cs="Times New Roman"/>
      <w:color w:val="000000"/>
      <w:kern w:val="0"/>
      <w:szCs w:val="20"/>
      <w:u w:color="000000"/>
    </w:rPr>
  </w:style>
  <w:style w:type="paragraph" w:customStyle="1" w:styleId="51">
    <w:name w:val="_Style 2"/>
    <w:basedOn w:val="1"/>
    <w:qFormat/>
    <w:uiPriority w:val="0"/>
    <w:pPr>
      <w:spacing w:line="240" w:lineRule="auto"/>
    </w:pPr>
    <w:rPr>
      <w:rFonts w:ascii="Times New Roman" w:hAnsi="Times New Roman" w:eastAsia="宋体" w:cs="Times New Roman"/>
      <w:szCs w:val="20"/>
    </w:rPr>
  </w:style>
  <w:style w:type="paragraph" w:customStyle="1" w:styleId="52">
    <w:name w:val="Char"/>
    <w:basedOn w:val="1"/>
    <w:qFormat/>
    <w:uiPriority w:val="0"/>
    <w:pPr>
      <w:widowControl/>
      <w:spacing w:after="160"/>
      <w:jc w:val="left"/>
    </w:pPr>
    <w:rPr>
      <w:rFonts w:ascii="Verdana" w:hAnsi="Verdana" w:eastAsia="宋体" w:cs="Verdana"/>
      <w:kern w:val="0"/>
      <w:szCs w:val="21"/>
      <w:lang w:eastAsia="en-US"/>
    </w:rPr>
  </w:style>
  <w:style w:type="paragraph" w:customStyle="1" w:styleId="53">
    <w:name w:val="xl27"/>
    <w:basedOn w:val="1"/>
    <w:qFormat/>
    <w:uiPriority w:val="0"/>
    <w:pPr>
      <w:widowControl/>
      <w:spacing w:before="100" w:beforeAutospacing="1" w:after="100" w:afterAutospacing="1" w:line="240" w:lineRule="auto"/>
      <w:jc w:val="center"/>
    </w:pPr>
    <w:rPr>
      <w:rFonts w:ascii="宋体" w:hAnsi="宋体" w:eastAsia="宋体" w:cs="Times New Roman"/>
      <w:kern w:val="0"/>
      <w:sz w:val="18"/>
      <w:szCs w:val="18"/>
    </w:rPr>
  </w:style>
  <w:style w:type="paragraph" w:customStyle="1" w:styleId="54">
    <w:name w:val="Char Char Char1 Char Char Char Char"/>
    <w:basedOn w:val="1"/>
    <w:qFormat/>
    <w:uiPriority w:val="0"/>
    <w:pPr>
      <w:widowControl/>
      <w:spacing w:after="160"/>
      <w:jc w:val="left"/>
    </w:pPr>
    <w:rPr>
      <w:rFonts w:ascii="Verdana" w:hAnsi="Verdana" w:eastAsia="宋体" w:cs="Times New Roman"/>
      <w:kern w:val="0"/>
      <w:sz w:val="20"/>
      <w:szCs w:val="20"/>
      <w:lang w:eastAsia="en-US"/>
    </w:rPr>
  </w:style>
  <w:style w:type="paragraph" w:customStyle="1" w:styleId="55">
    <w:name w:val="Char3"/>
    <w:basedOn w:val="1"/>
    <w:qFormat/>
    <w:uiPriority w:val="0"/>
    <w:pPr>
      <w:spacing w:line="360" w:lineRule="auto"/>
      <w:jc w:val="left"/>
    </w:pPr>
    <w:rPr>
      <w:rFonts w:ascii="宋体" w:hAnsi="Comic Sans MS" w:eastAsia="宋体" w:cs="Times New Roman"/>
      <w:color w:val="000000"/>
      <w:szCs w:val="21"/>
      <w:lang w:val="zh-CN"/>
    </w:rPr>
  </w:style>
  <w:style w:type="paragraph" w:customStyle="1" w:styleId="56">
    <w:name w:val="样式 (中文) 仿宋_GB2312 小四 行距: 1.5 倍行距 首行缩进:  2 字符"/>
    <w:basedOn w:val="1"/>
    <w:qFormat/>
    <w:uiPriority w:val="0"/>
    <w:pPr>
      <w:snapToGrid w:val="0"/>
      <w:spacing w:line="360" w:lineRule="auto"/>
      <w:ind w:firstLine="560" w:firstLineChars="200"/>
    </w:pPr>
    <w:rPr>
      <w:rFonts w:ascii="Times New Roman" w:hAnsi="Times New Roman" w:eastAsia="仿宋_GB2312" w:cs="宋体"/>
      <w:color w:val="000000"/>
      <w:sz w:val="28"/>
      <w:szCs w:val="28"/>
    </w:rPr>
  </w:style>
  <w:style w:type="paragraph" w:customStyle="1" w:styleId="57">
    <w:name w:val="默认段落字体 Para Char Char Char Char"/>
    <w:basedOn w:val="1"/>
    <w:qFormat/>
    <w:uiPriority w:val="0"/>
    <w:pPr>
      <w:spacing w:line="240" w:lineRule="auto"/>
    </w:pPr>
    <w:rPr>
      <w:rFonts w:ascii="Times New Roman" w:hAnsi="Times New Roman" w:eastAsia="宋体" w:cs="Times New Roman"/>
      <w:szCs w:val="24"/>
    </w:rPr>
  </w:style>
  <w:style w:type="character" w:customStyle="1" w:styleId="58">
    <w:name w:val="t_tag"/>
    <w:basedOn w:val="27"/>
    <w:qFormat/>
    <w:uiPriority w:val="0"/>
  </w:style>
  <w:style w:type="paragraph" w:customStyle="1" w:styleId="59">
    <w:name w:val="Char11"/>
    <w:basedOn w:val="1"/>
    <w:qFormat/>
    <w:uiPriority w:val="0"/>
    <w:pPr>
      <w:spacing w:line="240" w:lineRule="auto"/>
    </w:pPr>
    <w:rPr>
      <w:rFonts w:ascii="Times New Roman" w:hAnsi="Times New Roman" w:eastAsia="宋体" w:cs="Times New Roman"/>
      <w:szCs w:val="24"/>
    </w:rPr>
  </w:style>
  <w:style w:type="paragraph" w:customStyle="1" w:styleId="6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reader-word-layer"/>
    <w:basedOn w:val="1"/>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62">
    <w:name w:val="_Style 1"/>
    <w:basedOn w:val="1"/>
    <w:qFormat/>
    <w:uiPriority w:val="34"/>
    <w:pPr>
      <w:spacing w:line="24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50"/>
    <customShpInfo spid="_x0000_s1348"/>
    <customShpInfo spid="_x0000_s13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B2103-8B24-4402-A96A-951A304ADA8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7342</Words>
  <Characters>7553</Characters>
  <Lines>62</Lines>
  <Paragraphs>17</Paragraphs>
  <TotalTime>1</TotalTime>
  <ScaleCrop>false</ScaleCrop>
  <LinksUpToDate>false</LinksUpToDate>
  <CharactersWithSpaces>7570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2020-06-22T07:59:00Z</dcterms:created>
  <dc:creator>Administrator</dc:creator>
  <cp:lastModifiedBy>低调一些</cp:lastModifiedBy>
  <cp:lastPrinted>2020-06-29T01:19:00Z</cp:lastPrinted>
  <dcterms:modified xsi:type="dcterms:W3CDTF">2023-08-22T08:03:32Z</dcterms:modified>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eyJoZGlkIjoiZjhiZDgwMjRhNTE4Nzg3NTFjMzA0NzZiYThlYjU5MTEifQ==</vt:lpwstr>
  </property>
  <property fmtid="{D5CDD505-2E9C-101B-9397-08002B2CF9AE}" pid="3" name="KSOProductBuildVer">
    <vt:lpwstr>2052-11.1.0.14309</vt:lpwstr>
  </property>
  <property fmtid="{D5CDD505-2E9C-101B-9397-08002B2CF9AE}" pid="4" name="ICV">
    <vt:lpwstr>8767A592CA0A46598EC02169A5EBD8FD</vt:lpwstr>
  </property>
</Properties>
</file>